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13" w:rsidRPr="00454313" w:rsidRDefault="00454313" w:rsidP="00454313">
      <w:pPr>
        <w:pBdr>
          <w:top w:val="single" w:sz="4" w:space="1" w:color="auto"/>
          <w:left w:val="single" w:sz="4" w:space="4" w:color="auto"/>
          <w:bottom w:val="single" w:sz="4" w:space="1" w:color="auto"/>
          <w:right w:val="single" w:sz="4" w:space="4" w:color="auto"/>
        </w:pBdr>
        <w:spacing w:after="0" w:line="240" w:lineRule="auto"/>
        <w:rPr>
          <w:i/>
          <w:sz w:val="20"/>
        </w:rPr>
      </w:pPr>
      <w:r w:rsidRPr="00454313">
        <w:rPr>
          <w:i/>
          <w:sz w:val="20"/>
        </w:rPr>
        <w:t>Данный материал подготовлен исключительно ДЛЯ ЦЕЛЕЙ ОБУЧЕНИЯ!</w:t>
      </w:r>
    </w:p>
    <w:p w:rsidR="00454313" w:rsidRPr="00454313" w:rsidRDefault="00454313" w:rsidP="00454313">
      <w:pPr>
        <w:pBdr>
          <w:top w:val="single" w:sz="4" w:space="1" w:color="auto"/>
          <w:left w:val="single" w:sz="4" w:space="4" w:color="auto"/>
          <w:bottom w:val="single" w:sz="4" w:space="1" w:color="auto"/>
          <w:right w:val="single" w:sz="4" w:space="4" w:color="auto"/>
        </w:pBdr>
        <w:spacing w:after="0" w:line="240" w:lineRule="auto"/>
        <w:rPr>
          <w:i/>
          <w:sz w:val="20"/>
        </w:rPr>
      </w:pPr>
      <w:r w:rsidRPr="00454313">
        <w:rPr>
          <w:i/>
          <w:sz w:val="20"/>
        </w:rPr>
        <w:t xml:space="preserve">Для целей нормативного регулирования деятельности своей Компании и проверки требований данного документа с последующей сертификацией необходимо руководствоваться официальной версией расположенной по адресу: </w:t>
      </w:r>
      <w:hyperlink r:id="rId8" w:anchor="meddevs" w:history="1">
        <w:r w:rsidRPr="00454313">
          <w:rPr>
            <w:rStyle w:val="a6"/>
            <w:i/>
            <w:sz w:val="20"/>
          </w:rPr>
          <w:t>http://ec.europa.eu/growth/sectors/medical-devices/guidance/index_en.htm#meddevs</w:t>
        </w:r>
      </w:hyperlink>
      <w:r w:rsidRPr="00454313">
        <w:rPr>
          <w:i/>
          <w:sz w:val="20"/>
        </w:rPr>
        <w:t>.</w:t>
      </w:r>
    </w:p>
    <w:p w:rsidR="00454313" w:rsidRPr="00454313" w:rsidRDefault="00454313" w:rsidP="00454313">
      <w:pPr>
        <w:pBdr>
          <w:top w:val="single" w:sz="4" w:space="1" w:color="auto"/>
          <w:left w:val="single" w:sz="4" w:space="4" w:color="auto"/>
          <w:bottom w:val="single" w:sz="4" w:space="1" w:color="auto"/>
          <w:right w:val="single" w:sz="4" w:space="4" w:color="auto"/>
        </w:pBdr>
        <w:spacing w:after="0" w:line="240" w:lineRule="auto"/>
        <w:rPr>
          <w:i/>
          <w:sz w:val="20"/>
        </w:rPr>
      </w:pPr>
      <w:r w:rsidRPr="00454313">
        <w:rPr>
          <w:i/>
          <w:sz w:val="20"/>
        </w:rPr>
        <w:t xml:space="preserve">Все замечания и предложения, а также найденные ошибки и неточности просьба направлять на адрес: </w:t>
      </w:r>
      <w:hyperlink r:id="rId9" w:history="1">
        <w:r w:rsidRPr="00454313">
          <w:rPr>
            <w:rStyle w:val="a6"/>
            <w:i/>
            <w:sz w:val="20"/>
          </w:rPr>
          <w:t>info@getCEmark.ru</w:t>
        </w:r>
      </w:hyperlink>
    </w:p>
    <w:p w:rsidR="00454313" w:rsidRPr="00454313" w:rsidRDefault="00454313" w:rsidP="00454313">
      <w:pPr>
        <w:pBdr>
          <w:top w:val="single" w:sz="4" w:space="1" w:color="auto"/>
          <w:left w:val="single" w:sz="4" w:space="4" w:color="auto"/>
          <w:bottom w:val="single" w:sz="4" w:space="1" w:color="auto"/>
          <w:right w:val="single" w:sz="4" w:space="4" w:color="auto"/>
        </w:pBdr>
        <w:spacing w:after="0" w:line="240" w:lineRule="auto"/>
        <w:rPr>
          <w:i/>
          <w:sz w:val="20"/>
        </w:rPr>
      </w:pPr>
      <w:r w:rsidRPr="00454313">
        <w:rPr>
          <w:rFonts w:ascii="Segoe UI" w:hAnsi="Segoe UI" w:cs="Segoe UI"/>
          <w:color w:val="000000"/>
          <w:sz w:val="16"/>
          <w:szCs w:val="16"/>
        </w:rPr>
        <w:t>© Версия перевода</w:t>
      </w:r>
      <w:r w:rsidRPr="00454313">
        <w:rPr>
          <w:i/>
          <w:sz w:val="20"/>
        </w:rPr>
        <w:t xml:space="preserve"> 0</w:t>
      </w:r>
      <w:r w:rsidR="00D4583A">
        <w:rPr>
          <w:i/>
          <w:sz w:val="20"/>
        </w:rPr>
        <w:t>4</w:t>
      </w:r>
      <w:r w:rsidRPr="00454313">
        <w:rPr>
          <w:i/>
          <w:sz w:val="20"/>
        </w:rPr>
        <w:t xml:space="preserve"> - </w:t>
      </w:r>
      <w:r w:rsidR="00D4583A">
        <w:rPr>
          <w:i/>
          <w:sz w:val="20"/>
        </w:rPr>
        <w:t>24</w:t>
      </w:r>
      <w:r w:rsidRPr="00454313">
        <w:rPr>
          <w:i/>
          <w:sz w:val="20"/>
        </w:rPr>
        <w:t>.0</w:t>
      </w:r>
      <w:r w:rsidR="00D4583A">
        <w:rPr>
          <w:i/>
          <w:sz w:val="20"/>
        </w:rPr>
        <w:t>5</w:t>
      </w:r>
      <w:r w:rsidRPr="00454313">
        <w:rPr>
          <w:i/>
          <w:sz w:val="20"/>
        </w:rPr>
        <w:t>.2016. Поля документа выровнены под двухстороннюю печать.</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9"/>
        <w:gridCol w:w="140"/>
        <w:gridCol w:w="8027"/>
      </w:tblGrid>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US"/>
              </w:rPr>
            </w:pPr>
            <w:r w:rsidRPr="00454313">
              <w:rPr>
                <w:rFonts w:ascii="Arial CYR" w:hAnsi="Arial CYR" w:cs="Arial CYR"/>
                <w:color w:val="000000"/>
                <w:sz w:val="20"/>
                <w:szCs w:val="20"/>
                <w:lang w:val="en-GB"/>
              </w:rPr>
              <w:t>EUROPEAN COMMISSION</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DIRECTORATE GENERAL for HEALTH and CONSUMERS</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Consumer Affairs</w:t>
            </w:r>
            <w:r w:rsidR="00EB57F5" w:rsidRPr="00454313">
              <w:rPr>
                <w:rFonts w:ascii="Arial CYR" w:hAnsi="Arial CYR" w:cs="Arial CYR"/>
                <w:color w:val="000000"/>
                <w:sz w:val="20"/>
                <w:szCs w:val="20"/>
                <w:lang w:val="en-US"/>
              </w:rPr>
              <w:t xml:space="preserve"> / </w:t>
            </w:r>
            <w:r w:rsidRPr="00454313">
              <w:rPr>
                <w:rFonts w:ascii="Arial CYR" w:hAnsi="Arial CYR" w:cs="Arial CYR"/>
                <w:color w:val="000000"/>
                <w:sz w:val="20"/>
                <w:szCs w:val="20"/>
                <w:lang w:val="en-GB"/>
              </w:rPr>
              <w:t>Health technology and Cosmetics</w:t>
            </w:r>
          </w:p>
          <w:p w:rsidR="0011603F" w:rsidRPr="00454313" w:rsidRDefault="0011603F" w:rsidP="00EB57F5">
            <w:pPr>
              <w:widowControl w:val="0"/>
              <w:autoSpaceDE w:val="0"/>
              <w:autoSpaceDN w:val="0"/>
              <w:adjustRightInd w:val="0"/>
              <w:spacing w:after="0" w:line="240" w:lineRule="auto"/>
              <w:rPr>
                <w:rFonts w:ascii="Segoe UI" w:hAnsi="Segoe UI" w:cs="Segoe UI"/>
                <w:color w:val="000000"/>
                <w:sz w:val="16"/>
                <w:szCs w:val="16"/>
                <w:lang w:val="en-GB"/>
              </w:rPr>
            </w:pPr>
            <w:r w:rsidRPr="00454313">
              <w:rPr>
                <w:rFonts w:ascii="Arial CYR" w:hAnsi="Arial CYR" w:cs="Arial CYR"/>
                <w:b/>
                <w:bCs/>
                <w:color w:val="000000"/>
                <w:sz w:val="20"/>
                <w:szCs w:val="20"/>
                <w:lang w:val="en-GB"/>
              </w:rPr>
              <w:t>MEDDEV 2.12/2 rev2</w:t>
            </w:r>
            <w:r w:rsidR="00EB57F5" w:rsidRPr="00454313">
              <w:rPr>
                <w:rFonts w:ascii="Arial CYR" w:hAnsi="Arial CYR" w:cs="Arial CYR"/>
                <w:b/>
                <w:bCs/>
                <w:color w:val="000000"/>
                <w:sz w:val="20"/>
                <w:szCs w:val="20"/>
              </w:rPr>
              <w:t xml:space="preserve">, </w:t>
            </w:r>
            <w:r w:rsidRPr="00454313">
              <w:rPr>
                <w:rFonts w:ascii="Arial CYR" w:hAnsi="Arial CYR" w:cs="Arial CYR"/>
                <w:b/>
                <w:bCs/>
                <w:color w:val="000000"/>
                <w:sz w:val="20"/>
                <w:szCs w:val="20"/>
                <w:lang w:val="en-GB"/>
              </w:rPr>
              <w:t>January 2012</w:t>
            </w:r>
          </w:p>
        </w:tc>
        <w:tc>
          <w:tcPr>
            <w:tcW w:w="8027"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ЕВРОПЕЙСКАЯ КОМИССИЯ</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ГЛАВНОЕ УПРАВЛЕНИЕ по ЗДОРОВЬЮ и ПОТРЕБИТЕЛЯМ</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Потребительские </w:t>
            </w:r>
            <w:r w:rsidR="008763B7" w:rsidRPr="00454313">
              <w:rPr>
                <w:rFonts w:ascii="Arial CYR" w:hAnsi="Arial CYR" w:cs="Arial CYR"/>
                <w:color w:val="000000"/>
                <w:sz w:val="20"/>
                <w:szCs w:val="20"/>
              </w:rPr>
              <w:t>Вопросы</w:t>
            </w:r>
            <w:r w:rsidR="00EB57F5" w:rsidRPr="00454313">
              <w:rPr>
                <w:rFonts w:ascii="Arial CYR" w:hAnsi="Arial CYR" w:cs="Arial CYR"/>
                <w:color w:val="000000"/>
                <w:sz w:val="20"/>
                <w:szCs w:val="20"/>
              </w:rPr>
              <w:t xml:space="preserve"> / </w:t>
            </w:r>
            <w:r w:rsidRPr="00454313">
              <w:rPr>
                <w:rFonts w:ascii="Arial CYR" w:hAnsi="Arial CYR" w:cs="Arial CYR"/>
                <w:color w:val="000000"/>
                <w:sz w:val="20"/>
                <w:szCs w:val="20"/>
              </w:rPr>
              <w:t>Медицинские технологии и Косметика</w:t>
            </w:r>
          </w:p>
          <w:p w:rsidR="0093218D" w:rsidRPr="00454313" w:rsidRDefault="0011603F" w:rsidP="00EB57F5">
            <w:pPr>
              <w:widowControl w:val="0"/>
              <w:autoSpaceDE w:val="0"/>
              <w:autoSpaceDN w:val="0"/>
              <w:adjustRightInd w:val="0"/>
              <w:spacing w:after="0" w:line="240" w:lineRule="auto"/>
              <w:rPr>
                <w:rFonts w:ascii="Segoe UI" w:hAnsi="Segoe UI" w:cs="Segoe UI"/>
                <w:color w:val="000000"/>
                <w:sz w:val="16"/>
                <w:szCs w:val="16"/>
              </w:rPr>
            </w:pPr>
            <w:r w:rsidRPr="00454313">
              <w:rPr>
                <w:rFonts w:ascii="Arial CYR" w:hAnsi="Arial CYR" w:cs="Arial CYR"/>
                <w:b/>
                <w:bCs/>
                <w:color w:val="000000"/>
                <w:sz w:val="20"/>
                <w:szCs w:val="20"/>
              </w:rPr>
              <w:t>MEDDEV 2.12/2 rev2</w:t>
            </w:r>
            <w:r w:rsidR="00EB57F5" w:rsidRPr="00454313">
              <w:rPr>
                <w:rFonts w:ascii="Arial CYR" w:hAnsi="Arial CYR" w:cs="Arial CYR"/>
                <w:b/>
                <w:bCs/>
                <w:color w:val="000000"/>
                <w:sz w:val="20"/>
                <w:szCs w:val="20"/>
              </w:rPr>
              <w:t xml:space="preserve">, </w:t>
            </w:r>
            <w:r w:rsidRPr="00454313">
              <w:rPr>
                <w:rFonts w:ascii="Arial CYR" w:hAnsi="Arial CYR" w:cs="Arial CYR"/>
                <w:b/>
                <w:bCs/>
                <w:color w:val="000000"/>
                <w:sz w:val="20"/>
                <w:szCs w:val="20"/>
              </w:rPr>
              <w:t>Январь 2012</w:t>
            </w:r>
          </w:p>
        </w:tc>
      </w:tr>
      <w:tr w:rsidR="0011603F" w:rsidRPr="00454313" w:rsidTr="00824CCA">
        <w:tc>
          <w:tcPr>
            <w:tcW w:w="6669" w:type="dxa"/>
            <w:gridSpan w:val="2"/>
          </w:tcPr>
          <w:p w:rsidR="0011603F" w:rsidRPr="00454313" w:rsidRDefault="00D75721">
            <w:pPr>
              <w:widowControl w:val="0"/>
              <w:autoSpaceDE w:val="0"/>
              <w:autoSpaceDN w:val="0"/>
              <w:adjustRightInd w:val="0"/>
              <w:spacing w:after="0" w:line="240" w:lineRule="auto"/>
              <w:rPr>
                <w:rFonts w:ascii="Cambria" w:hAnsi="Cambria" w:cs="Cambria"/>
                <w:color w:val="17365D"/>
                <w:spacing w:val="5"/>
                <w:kern w:val="28"/>
                <w:sz w:val="52"/>
                <w:szCs w:val="52"/>
                <w:lang w:val="en-GB"/>
              </w:rPr>
            </w:pPr>
            <w:r w:rsidRPr="00454313">
              <w:rPr>
                <w:rFonts w:ascii="Cambria" w:hAnsi="Cambria" w:cs="Cambria"/>
                <w:color w:val="17365D"/>
                <w:spacing w:val="5"/>
                <w:kern w:val="28"/>
                <w:sz w:val="52"/>
                <w:szCs w:val="52"/>
                <w:lang w:val="en-GB"/>
              </w:rPr>
              <w:t>GUIDELINES</w:t>
            </w:r>
            <w:r w:rsidRPr="00454313">
              <w:rPr>
                <w:rFonts w:ascii="Cambria" w:hAnsi="Cambria" w:cs="Cambria"/>
                <w:color w:val="17365D"/>
                <w:spacing w:val="5"/>
                <w:kern w:val="28"/>
                <w:sz w:val="52"/>
                <w:szCs w:val="52"/>
                <w:lang w:val="en-GB"/>
              </w:rPr>
              <w:br/>
            </w:r>
            <w:r w:rsidR="0011603F" w:rsidRPr="00454313">
              <w:rPr>
                <w:rFonts w:ascii="Cambria" w:hAnsi="Cambria" w:cs="Cambria"/>
                <w:color w:val="17365D"/>
                <w:spacing w:val="5"/>
                <w:kern w:val="28"/>
                <w:sz w:val="52"/>
                <w:szCs w:val="52"/>
                <w:lang w:val="en-GB"/>
              </w:rPr>
              <w:t>ON MEDICAL DEVICES</w:t>
            </w:r>
          </w:p>
          <w:p w:rsidR="0011603F" w:rsidRPr="00454313" w:rsidRDefault="0011603F">
            <w:pPr>
              <w:widowControl w:val="0"/>
              <w:autoSpaceDE w:val="0"/>
              <w:autoSpaceDN w:val="0"/>
              <w:adjustRightInd w:val="0"/>
              <w:spacing w:after="0" w:line="240" w:lineRule="auto"/>
              <w:rPr>
                <w:rFonts w:ascii="Cambria" w:hAnsi="Cambria" w:cs="Cambria"/>
                <w:color w:val="17365D"/>
                <w:spacing w:val="5"/>
                <w:kern w:val="28"/>
                <w:sz w:val="52"/>
                <w:szCs w:val="52"/>
                <w:lang w:val="en-GB"/>
              </w:rPr>
            </w:pPr>
            <w:r w:rsidRPr="00454313">
              <w:rPr>
                <w:rFonts w:ascii="Cambria" w:hAnsi="Cambria" w:cs="Cambria"/>
                <w:color w:val="17365D"/>
                <w:spacing w:val="5"/>
                <w:kern w:val="28"/>
                <w:sz w:val="52"/>
                <w:szCs w:val="52"/>
                <w:lang w:val="en-GB"/>
              </w:rPr>
              <w:t>POST</w:t>
            </w:r>
            <w:r w:rsidRPr="00454313">
              <w:rPr>
                <w:rFonts w:ascii="Times New Roman CYR" w:hAnsi="Times New Roman CYR" w:cs="Times New Roman CYR"/>
                <w:color w:val="17365D"/>
                <w:spacing w:val="5"/>
                <w:kern w:val="28"/>
                <w:sz w:val="52"/>
                <w:szCs w:val="52"/>
                <w:lang w:val="en-GB"/>
              </w:rPr>
              <w:t>-</w:t>
            </w:r>
            <w:r w:rsidRPr="00454313">
              <w:rPr>
                <w:rFonts w:ascii="Cambria" w:hAnsi="Cambria" w:cs="Cambria"/>
                <w:color w:val="17365D"/>
                <w:spacing w:val="5"/>
                <w:kern w:val="28"/>
                <w:sz w:val="52"/>
                <w:szCs w:val="52"/>
                <w:lang w:val="en-GB"/>
              </w:rPr>
              <w:t>MARKET CLINICAL FOLLOW-UP STUDIES</w:t>
            </w:r>
          </w:p>
          <w:p w:rsidR="0011603F" w:rsidRPr="00454313" w:rsidRDefault="0011603F" w:rsidP="0011603F">
            <w:pPr>
              <w:widowControl w:val="0"/>
              <w:autoSpaceDE w:val="0"/>
              <w:autoSpaceDN w:val="0"/>
              <w:adjustRightInd w:val="0"/>
              <w:spacing w:after="0" w:line="240" w:lineRule="auto"/>
              <w:rPr>
                <w:rFonts w:ascii="Cambria" w:hAnsi="Cambria" w:cs="Cambria"/>
                <w:color w:val="17365D"/>
                <w:spacing w:val="5"/>
                <w:kern w:val="28"/>
                <w:sz w:val="52"/>
                <w:szCs w:val="52"/>
                <w:lang w:val="en-GB"/>
              </w:rPr>
            </w:pPr>
            <w:r w:rsidRPr="00454313">
              <w:rPr>
                <w:rFonts w:ascii="Cambria" w:hAnsi="Cambria" w:cs="Cambria"/>
                <w:i/>
                <w:iCs/>
                <w:color w:val="4F81BD"/>
                <w:spacing w:val="15"/>
                <w:sz w:val="24"/>
                <w:szCs w:val="24"/>
                <w:lang w:val="en-GB"/>
              </w:rPr>
              <w:t>A GUIDE FOR MANUFACTURERS AND NOTIFIED BODIES</w:t>
            </w:r>
          </w:p>
        </w:tc>
        <w:tc>
          <w:tcPr>
            <w:tcW w:w="8027" w:type="dxa"/>
          </w:tcPr>
          <w:p w:rsidR="0011603F" w:rsidRPr="00454313" w:rsidRDefault="00D75721">
            <w:pPr>
              <w:widowControl w:val="0"/>
              <w:autoSpaceDE w:val="0"/>
              <w:autoSpaceDN w:val="0"/>
              <w:adjustRightInd w:val="0"/>
              <w:spacing w:after="0" w:line="240" w:lineRule="auto"/>
              <w:rPr>
                <w:rFonts w:ascii="Cambria" w:hAnsi="Cambria" w:cs="Cambria"/>
                <w:color w:val="17365D"/>
                <w:spacing w:val="5"/>
                <w:kern w:val="28"/>
                <w:sz w:val="44"/>
                <w:szCs w:val="52"/>
              </w:rPr>
            </w:pPr>
            <w:r w:rsidRPr="00454313">
              <w:rPr>
                <w:rFonts w:ascii="Cambria" w:hAnsi="Cambria" w:cs="Cambria"/>
                <w:color w:val="17365D"/>
                <w:spacing w:val="5"/>
                <w:kern w:val="28"/>
                <w:sz w:val="44"/>
                <w:szCs w:val="52"/>
              </w:rPr>
              <w:t xml:space="preserve">РУКОВОДЯЩИЕ </w:t>
            </w:r>
            <w:r w:rsidR="00717535" w:rsidRPr="00454313">
              <w:rPr>
                <w:rFonts w:ascii="Cambria" w:hAnsi="Cambria" w:cs="Cambria"/>
                <w:color w:val="17365D"/>
                <w:spacing w:val="5"/>
                <w:kern w:val="28"/>
                <w:sz w:val="44"/>
                <w:szCs w:val="52"/>
              </w:rPr>
              <w:t>УКАЗАНИЯ</w:t>
            </w:r>
            <w:r w:rsidR="00A3644E" w:rsidRPr="00454313">
              <w:rPr>
                <w:rFonts w:ascii="Cambria" w:hAnsi="Cambria" w:cs="Cambria"/>
                <w:color w:val="17365D"/>
                <w:spacing w:val="5"/>
                <w:kern w:val="28"/>
                <w:sz w:val="44"/>
                <w:szCs w:val="52"/>
              </w:rPr>
              <w:t xml:space="preserve"> </w:t>
            </w:r>
            <w:r w:rsidR="00864F5D" w:rsidRPr="00454313">
              <w:rPr>
                <w:rFonts w:ascii="Cambria" w:hAnsi="Cambria" w:cs="Cambria"/>
                <w:color w:val="17365D"/>
                <w:spacing w:val="5"/>
                <w:kern w:val="28"/>
                <w:sz w:val="44"/>
                <w:szCs w:val="52"/>
              </w:rPr>
              <w:t>по пост</w:t>
            </w:r>
            <w:r w:rsidRPr="00454313">
              <w:rPr>
                <w:rFonts w:ascii="Cambria" w:hAnsi="Cambria" w:cs="Cambria"/>
                <w:color w:val="17365D"/>
                <w:spacing w:val="5"/>
                <w:kern w:val="28"/>
                <w:sz w:val="44"/>
                <w:szCs w:val="52"/>
              </w:rPr>
              <w:t>-</w:t>
            </w:r>
            <w:r w:rsidR="00C76919" w:rsidRPr="00454313">
              <w:rPr>
                <w:rFonts w:ascii="Cambria" w:hAnsi="Cambria" w:cs="Cambria"/>
                <w:color w:val="17365D"/>
                <w:spacing w:val="5"/>
                <w:kern w:val="28"/>
                <w:sz w:val="44"/>
                <w:szCs w:val="52"/>
              </w:rPr>
              <w:t>продажным</w:t>
            </w:r>
            <w:r w:rsidR="00864F5D" w:rsidRPr="00454313">
              <w:rPr>
                <w:rFonts w:ascii="Cambria" w:hAnsi="Cambria" w:cs="Cambria"/>
                <w:color w:val="17365D"/>
                <w:spacing w:val="5"/>
                <w:kern w:val="28"/>
                <w:sz w:val="44"/>
                <w:szCs w:val="52"/>
              </w:rPr>
              <w:t xml:space="preserve"> катамнестическим</w:t>
            </w:r>
            <w:r w:rsidR="005A75BD" w:rsidRPr="00454313">
              <w:rPr>
                <w:rStyle w:val="a5"/>
                <w:rFonts w:ascii="Cambria" w:hAnsi="Cambria" w:cs="Cambria"/>
                <w:color w:val="17365D"/>
                <w:spacing w:val="5"/>
                <w:kern w:val="28"/>
                <w:sz w:val="44"/>
                <w:szCs w:val="52"/>
              </w:rPr>
              <w:footnoteReference w:id="1"/>
            </w:r>
            <w:r w:rsidR="005A75BD" w:rsidRPr="00454313">
              <w:rPr>
                <w:rFonts w:ascii="Cambria" w:hAnsi="Cambria" w:cs="Cambria"/>
                <w:color w:val="17365D"/>
                <w:spacing w:val="5"/>
                <w:kern w:val="28"/>
                <w:sz w:val="44"/>
                <w:szCs w:val="52"/>
              </w:rPr>
              <w:t xml:space="preserve"> </w:t>
            </w:r>
            <w:r w:rsidR="00864F5D" w:rsidRPr="00454313">
              <w:rPr>
                <w:rFonts w:ascii="Cambria" w:hAnsi="Cambria" w:cs="Cambria"/>
                <w:color w:val="17365D"/>
                <w:spacing w:val="5"/>
                <w:kern w:val="28"/>
                <w:sz w:val="44"/>
                <w:szCs w:val="52"/>
              </w:rPr>
              <w:t xml:space="preserve">клиническим наблюдениям </w:t>
            </w:r>
            <w:r w:rsidR="00547939" w:rsidRPr="00454313">
              <w:rPr>
                <w:rFonts w:ascii="Cambria" w:hAnsi="Cambria" w:cs="Cambria"/>
                <w:color w:val="17365D"/>
                <w:spacing w:val="5"/>
                <w:kern w:val="28"/>
                <w:sz w:val="44"/>
                <w:szCs w:val="52"/>
              </w:rPr>
              <w:t>(изучение отдалённых результатов</w:t>
            </w:r>
            <w:r w:rsidR="00A3644E" w:rsidRPr="00454313">
              <w:rPr>
                <w:rFonts w:ascii="Cambria" w:hAnsi="Cambria" w:cs="Cambria"/>
                <w:color w:val="17365D"/>
                <w:spacing w:val="5"/>
                <w:kern w:val="28"/>
                <w:sz w:val="44"/>
                <w:szCs w:val="52"/>
              </w:rPr>
              <w:t xml:space="preserve"> </w:t>
            </w:r>
            <w:r w:rsidR="004A3E09" w:rsidRPr="00454313">
              <w:rPr>
                <w:rFonts w:ascii="Cambria" w:hAnsi="Cambria" w:cs="Cambria"/>
                <w:color w:val="17365D"/>
                <w:spacing w:val="5"/>
                <w:kern w:val="28"/>
                <w:sz w:val="44"/>
                <w:szCs w:val="52"/>
              </w:rPr>
              <w:t xml:space="preserve">применения) </w:t>
            </w:r>
            <w:r w:rsidR="00D4583A">
              <w:rPr>
                <w:rFonts w:ascii="Cambria" w:hAnsi="Cambria" w:cs="Cambria"/>
                <w:color w:val="17365D"/>
                <w:spacing w:val="5"/>
                <w:kern w:val="28"/>
                <w:sz w:val="44"/>
                <w:szCs w:val="52"/>
              </w:rPr>
              <w:t>медицинских изделий</w:t>
            </w:r>
          </w:p>
          <w:p w:rsidR="0093218D" w:rsidRPr="00454313" w:rsidRDefault="0011603F" w:rsidP="00A43D26">
            <w:pPr>
              <w:widowControl w:val="0"/>
              <w:autoSpaceDE w:val="0"/>
              <w:autoSpaceDN w:val="0"/>
              <w:adjustRightInd w:val="0"/>
              <w:spacing w:after="0" w:line="240" w:lineRule="auto"/>
              <w:rPr>
                <w:rFonts w:ascii="Cambria" w:hAnsi="Cambria" w:cs="Cambria"/>
                <w:color w:val="17365D"/>
                <w:spacing w:val="5"/>
                <w:kern w:val="28"/>
                <w:sz w:val="52"/>
                <w:szCs w:val="52"/>
              </w:rPr>
            </w:pPr>
            <w:r w:rsidRPr="00454313">
              <w:rPr>
                <w:rFonts w:ascii="Cambria" w:hAnsi="Cambria" w:cs="Cambria"/>
                <w:i/>
                <w:iCs/>
                <w:color w:val="4F81BD"/>
                <w:spacing w:val="15"/>
                <w:sz w:val="24"/>
                <w:szCs w:val="24"/>
              </w:rPr>
              <w:t>Р</w:t>
            </w:r>
            <w:r w:rsidR="00864F5D" w:rsidRPr="00454313">
              <w:rPr>
                <w:rFonts w:ascii="Cambria" w:hAnsi="Cambria" w:cs="Cambria"/>
                <w:i/>
                <w:iCs/>
                <w:color w:val="4F81BD"/>
                <w:spacing w:val="15"/>
                <w:sz w:val="24"/>
                <w:szCs w:val="24"/>
              </w:rPr>
              <w:t>уководство для производителей и Нотифицированных Органов</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Note</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present Guidelines are part of a set of Guidelines relating to questions of application of EC-Directives on medical Devices. They are legally not binding. The Guidelines have been carefully drafted through a process of intensive consultation of the various interest parties (competent authorities, Commission services, industries, other interested parties) during which intermediate drafts where circulated and comments were taken up in the document. Therefore, this document reflects positions taken by representatives of interest parties in the medical devices sector.</w:t>
            </w:r>
          </w:p>
        </w:tc>
        <w:tc>
          <w:tcPr>
            <w:tcW w:w="8027"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Примечание</w:t>
            </w:r>
          </w:p>
          <w:p w:rsidR="00717535" w:rsidRPr="00454313" w:rsidRDefault="00717535" w:rsidP="00D4583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Настоящие </w:t>
            </w:r>
            <w:r w:rsidR="0011603F" w:rsidRPr="00454313">
              <w:rPr>
                <w:rFonts w:ascii="Arial CYR" w:hAnsi="Arial CYR" w:cs="Arial CYR"/>
                <w:color w:val="000000"/>
                <w:sz w:val="20"/>
                <w:szCs w:val="20"/>
              </w:rPr>
              <w:t xml:space="preserve">Руководящие </w:t>
            </w:r>
            <w:r w:rsidRPr="00454313">
              <w:rPr>
                <w:rFonts w:ascii="Arial CYR" w:hAnsi="Arial CYR" w:cs="Arial CYR"/>
                <w:color w:val="000000"/>
                <w:sz w:val="20"/>
                <w:szCs w:val="20"/>
              </w:rPr>
              <w:t xml:space="preserve">указания </w:t>
            </w:r>
            <w:r w:rsidR="0011603F" w:rsidRPr="00454313">
              <w:rPr>
                <w:rFonts w:ascii="Arial CYR" w:hAnsi="Arial CYR" w:cs="Arial CYR"/>
                <w:color w:val="000000"/>
                <w:sz w:val="20"/>
                <w:szCs w:val="20"/>
              </w:rPr>
              <w:t xml:space="preserve">- часть ряда Руководящих </w:t>
            </w:r>
            <w:r w:rsidRPr="00454313">
              <w:rPr>
                <w:rFonts w:ascii="Arial CYR" w:hAnsi="Arial CYR" w:cs="Arial CYR"/>
                <w:color w:val="000000"/>
                <w:sz w:val="20"/>
                <w:szCs w:val="20"/>
              </w:rPr>
              <w:t>указаний</w:t>
            </w:r>
            <w:r w:rsidR="0011603F" w:rsidRPr="00454313">
              <w:rPr>
                <w:rFonts w:ascii="Arial CYR" w:hAnsi="Arial CYR" w:cs="Arial CYR"/>
                <w:color w:val="000000"/>
                <w:sz w:val="20"/>
                <w:szCs w:val="20"/>
              </w:rPr>
              <w:t xml:space="preserve">, касающихся вопросов применения Директив EC по медицинским </w:t>
            </w:r>
            <w:r w:rsidR="00D4583A">
              <w:rPr>
                <w:rFonts w:ascii="Arial CYR" w:hAnsi="Arial CYR" w:cs="Arial CYR"/>
                <w:color w:val="000000"/>
                <w:sz w:val="20"/>
                <w:szCs w:val="20"/>
              </w:rPr>
              <w:t>изделиям (далее «</w:t>
            </w:r>
            <w:r w:rsidR="00D4583A" w:rsidRPr="00D4583A">
              <w:rPr>
                <w:rFonts w:ascii="Arial CYR" w:hAnsi="Arial CYR" w:cs="Arial CYR"/>
                <w:b/>
                <w:color w:val="000000"/>
                <w:sz w:val="20"/>
                <w:szCs w:val="20"/>
              </w:rPr>
              <w:t>МИ</w:t>
            </w:r>
            <w:r w:rsidR="00D4583A">
              <w:rPr>
                <w:rFonts w:ascii="Arial CYR" w:hAnsi="Arial CYR" w:cs="Arial CYR"/>
                <w:color w:val="000000"/>
                <w:sz w:val="20"/>
                <w:szCs w:val="20"/>
              </w:rPr>
              <w:t>»)</w:t>
            </w:r>
            <w:r w:rsidR="0011603F" w:rsidRPr="00454313">
              <w:rPr>
                <w:rFonts w:ascii="Arial CYR" w:hAnsi="Arial CYR" w:cs="Arial CYR"/>
                <w:color w:val="000000"/>
                <w:sz w:val="20"/>
                <w:szCs w:val="20"/>
              </w:rPr>
              <w:t>.</w:t>
            </w:r>
            <w:r w:rsidRPr="00454313">
              <w:t xml:space="preserve"> </w:t>
            </w:r>
            <w:r w:rsidRPr="00454313">
              <w:rPr>
                <w:rFonts w:ascii="Arial CYR" w:hAnsi="Arial CYR" w:cs="Arial CYR"/>
                <w:color w:val="000000"/>
                <w:sz w:val="20"/>
                <w:szCs w:val="20"/>
              </w:rPr>
              <w:t>Юридически они не являются обязательными</w:t>
            </w:r>
            <w:r w:rsidR="0011603F" w:rsidRPr="00454313">
              <w:rPr>
                <w:rFonts w:ascii="Arial CYR" w:hAnsi="Arial CYR" w:cs="Arial CYR"/>
                <w:color w:val="000000"/>
                <w:sz w:val="20"/>
                <w:szCs w:val="20"/>
              </w:rPr>
              <w:t xml:space="preserve">. </w:t>
            </w:r>
            <w:r w:rsidR="00740F5D" w:rsidRPr="00454313">
              <w:rPr>
                <w:rFonts w:ascii="Arial CYR" w:hAnsi="Arial CYR" w:cs="Arial CYR"/>
                <w:color w:val="000000"/>
                <w:sz w:val="20"/>
                <w:szCs w:val="20"/>
              </w:rPr>
              <w:t xml:space="preserve">Эти </w:t>
            </w:r>
            <w:r w:rsidR="0011603F" w:rsidRPr="00454313">
              <w:rPr>
                <w:rFonts w:ascii="Arial CYR" w:hAnsi="Arial CYR" w:cs="Arial CYR"/>
                <w:color w:val="000000"/>
                <w:sz w:val="20"/>
                <w:szCs w:val="20"/>
              </w:rPr>
              <w:t xml:space="preserve">Руководящие </w:t>
            </w:r>
            <w:r w:rsidRPr="00454313">
              <w:rPr>
                <w:rFonts w:ascii="Arial CYR" w:hAnsi="Arial CYR" w:cs="Arial CYR"/>
                <w:color w:val="000000"/>
                <w:sz w:val="20"/>
                <w:szCs w:val="20"/>
              </w:rPr>
              <w:t>указания</w:t>
            </w:r>
            <w:r w:rsidR="0011603F" w:rsidRPr="00454313">
              <w:rPr>
                <w:rFonts w:ascii="Arial CYR" w:hAnsi="Arial CYR" w:cs="Arial CYR"/>
                <w:color w:val="000000"/>
                <w:sz w:val="20"/>
                <w:szCs w:val="20"/>
              </w:rPr>
              <w:t xml:space="preserve"> были тщательно </w:t>
            </w:r>
            <w:r w:rsidRPr="00454313">
              <w:rPr>
                <w:rFonts w:ascii="Arial CYR" w:hAnsi="Arial CYR" w:cs="Arial CYR"/>
                <w:color w:val="000000"/>
                <w:sz w:val="20"/>
                <w:szCs w:val="20"/>
              </w:rPr>
              <w:t>разработаны</w:t>
            </w:r>
            <w:r w:rsidR="0011603F" w:rsidRPr="00454313">
              <w:rPr>
                <w:rFonts w:ascii="Arial CYR" w:hAnsi="Arial CYR" w:cs="Arial CYR"/>
                <w:color w:val="000000"/>
                <w:sz w:val="20"/>
                <w:szCs w:val="20"/>
              </w:rPr>
              <w:t xml:space="preserve"> </w:t>
            </w:r>
            <w:r w:rsidRPr="00454313">
              <w:rPr>
                <w:rFonts w:ascii="Arial CYR" w:hAnsi="Arial CYR" w:cs="Arial CYR"/>
                <w:color w:val="000000"/>
                <w:sz w:val="20"/>
                <w:szCs w:val="20"/>
              </w:rPr>
              <w:t>в</w:t>
            </w:r>
            <w:r w:rsidR="0011603F" w:rsidRPr="00454313">
              <w:rPr>
                <w:rFonts w:ascii="Arial CYR" w:hAnsi="Arial CYR" w:cs="Arial CYR"/>
                <w:color w:val="000000"/>
                <w:sz w:val="20"/>
                <w:szCs w:val="20"/>
              </w:rPr>
              <w:t xml:space="preserve"> процесс</w:t>
            </w:r>
            <w:r w:rsidRPr="00454313">
              <w:rPr>
                <w:rFonts w:ascii="Arial CYR" w:hAnsi="Arial CYR" w:cs="Arial CYR"/>
                <w:color w:val="000000"/>
                <w:sz w:val="20"/>
                <w:szCs w:val="20"/>
              </w:rPr>
              <w:t>е</w:t>
            </w:r>
            <w:r w:rsidR="0011603F" w:rsidRPr="00454313">
              <w:rPr>
                <w:rFonts w:ascii="Arial CYR" w:hAnsi="Arial CYR" w:cs="Arial CYR"/>
                <w:color w:val="000000"/>
                <w:sz w:val="20"/>
                <w:szCs w:val="20"/>
              </w:rPr>
              <w:t xml:space="preserve"> интенсивн</w:t>
            </w:r>
            <w:r w:rsidRPr="00454313">
              <w:rPr>
                <w:rFonts w:ascii="Arial CYR" w:hAnsi="Arial CYR" w:cs="Arial CYR"/>
                <w:color w:val="000000"/>
                <w:sz w:val="20"/>
                <w:szCs w:val="20"/>
              </w:rPr>
              <w:t>ых</w:t>
            </w:r>
            <w:r w:rsidR="0011603F" w:rsidRPr="00454313">
              <w:rPr>
                <w:rFonts w:ascii="Arial CYR" w:hAnsi="Arial CYR" w:cs="Arial CYR"/>
                <w:color w:val="000000"/>
                <w:sz w:val="20"/>
                <w:szCs w:val="20"/>
              </w:rPr>
              <w:t xml:space="preserve"> консультаци</w:t>
            </w:r>
            <w:r w:rsidRPr="00454313">
              <w:rPr>
                <w:rFonts w:ascii="Arial CYR" w:hAnsi="Arial CYR" w:cs="Arial CYR"/>
                <w:color w:val="000000"/>
                <w:sz w:val="20"/>
                <w:szCs w:val="20"/>
              </w:rPr>
              <w:t>й</w:t>
            </w:r>
            <w:r w:rsidR="0011603F" w:rsidRPr="00454313">
              <w:rPr>
                <w:rFonts w:ascii="Arial CYR" w:hAnsi="Arial CYR" w:cs="Arial CYR"/>
                <w:color w:val="000000"/>
                <w:sz w:val="20"/>
                <w:szCs w:val="20"/>
              </w:rPr>
              <w:t xml:space="preserve"> различных </w:t>
            </w:r>
            <w:r w:rsidRPr="00454313">
              <w:rPr>
                <w:rFonts w:ascii="Arial CYR" w:hAnsi="Arial CYR" w:cs="Arial CYR"/>
                <w:color w:val="000000"/>
                <w:sz w:val="20"/>
                <w:szCs w:val="20"/>
              </w:rPr>
              <w:t xml:space="preserve">заинтересованных </w:t>
            </w:r>
            <w:r w:rsidR="0011603F" w:rsidRPr="00454313">
              <w:rPr>
                <w:rFonts w:ascii="Arial CYR" w:hAnsi="Arial CYR" w:cs="Arial CYR"/>
                <w:color w:val="000000"/>
                <w:sz w:val="20"/>
                <w:szCs w:val="20"/>
              </w:rPr>
              <w:t xml:space="preserve">сторон (компетентные органы, </w:t>
            </w:r>
            <w:r w:rsidRPr="00454313">
              <w:rPr>
                <w:rFonts w:ascii="Arial CYR" w:hAnsi="Arial CYR" w:cs="Arial CYR"/>
                <w:color w:val="000000"/>
                <w:sz w:val="20"/>
                <w:szCs w:val="20"/>
              </w:rPr>
              <w:t>службы Евро</w:t>
            </w:r>
            <w:r w:rsidR="0011603F" w:rsidRPr="00454313">
              <w:rPr>
                <w:rFonts w:ascii="Arial CYR" w:hAnsi="Arial CYR" w:cs="Arial CYR"/>
                <w:color w:val="000000"/>
                <w:sz w:val="20"/>
                <w:szCs w:val="20"/>
              </w:rPr>
              <w:t xml:space="preserve">комиссии, </w:t>
            </w:r>
            <w:r w:rsidRPr="00454313">
              <w:rPr>
                <w:rFonts w:ascii="Arial CYR" w:hAnsi="Arial CYR" w:cs="Arial CYR"/>
                <w:color w:val="000000"/>
                <w:sz w:val="20"/>
                <w:szCs w:val="20"/>
              </w:rPr>
              <w:t xml:space="preserve">представители </w:t>
            </w:r>
            <w:r w:rsidR="0011603F" w:rsidRPr="00454313">
              <w:rPr>
                <w:rFonts w:ascii="Arial CYR" w:hAnsi="Arial CYR" w:cs="Arial CYR"/>
                <w:color w:val="000000"/>
                <w:sz w:val="20"/>
                <w:szCs w:val="20"/>
              </w:rPr>
              <w:t xml:space="preserve">отрасли, другие заинтересованные стороны), </w:t>
            </w:r>
            <w:r w:rsidR="00740F5D" w:rsidRPr="00454313">
              <w:rPr>
                <w:rFonts w:ascii="Arial CYR" w:hAnsi="Arial CYR" w:cs="Arial CYR"/>
                <w:color w:val="000000"/>
                <w:sz w:val="20"/>
                <w:szCs w:val="20"/>
              </w:rPr>
              <w:t xml:space="preserve">во время которых промежуточные проекты </w:t>
            </w:r>
            <w:r w:rsidR="00844C2A" w:rsidRPr="00454313">
              <w:rPr>
                <w:rFonts w:ascii="Arial CYR" w:hAnsi="Arial CYR" w:cs="Arial CYR"/>
                <w:color w:val="000000"/>
                <w:sz w:val="20"/>
                <w:szCs w:val="20"/>
              </w:rPr>
              <w:t>рас</w:t>
            </w:r>
            <w:r w:rsidR="00740F5D" w:rsidRPr="00454313">
              <w:rPr>
                <w:rFonts w:ascii="Arial CYR" w:hAnsi="Arial CYR" w:cs="Arial CYR"/>
                <w:color w:val="000000"/>
                <w:sz w:val="20"/>
                <w:szCs w:val="20"/>
              </w:rPr>
              <w:t xml:space="preserve">сылались и рассматривались всеми сторонами </w:t>
            </w:r>
            <w:r w:rsidR="00844C2A" w:rsidRPr="00454313">
              <w:rPr>
                <w:rFonts w:ascii="Arial CYR" w:hAnsi="Arial CYR" w:cs="Arial CYR"/>
                <w:color w:val="000000"/>
                <w:sz w:val="20"/>
                <w:szCs w:val="20"/>
              </w:rPr>
              <w:t>и</w:t>
            </w:r>
            <w:r w:rsidR="0011603F" w:rsidRPr="00454313">
              <w:rPr>
                <w:rFonts w:ascii="Arial CYR" w:hAnsi="Arial CYR" w:cs="Arial CYR"/>
                <w:color w:val="000000"/>
                <w:sz w:val="20"/>
                <w:szCs w:val="20"/>
              </w:rPr>
              <w:t xml:space="preserve"> комментарии были </w:t>
            </w:r>
            <w:r w:rsidR="00740F5D" w:rsidRPr="00454313">
              <w:rPr>
                <w:rFonts w:ascii="Arial CYR" w:hAnsi="Arial CYR" w:cs="Arial CYR"/>
                <w:color w:val="000000"/>
                <w:sz w:val="20"/>
                <w:szCs w:val="20"/>
              </w:rPr>
              <w:t xml:space="preserve">учтены </w:t>
            </w:r>
            <w:r w:rsidR="0011603F" w:rsidRPr="00454313">
              <w:rPr>
                <w:rFonts w:ascii="Arial CYR" w:hAnsi="Arial CYR" w:cs="Arial CYR"/>
                <w:color w:val="000000"/>
                <w:sz w:val="20"/>
                <w:szCs w:val="20"/>
              </w:rPr>
              <w:t xml:space="preserve">в документе. </w:t>
            </w:r>
            <w:r w:rsidR="00740F5D" w:rsidRPr="00454313">
              <w:rPr>
                <w:rFonts w:ascii="Arial CYR" w:hAnsi="Arial CYR" w:cs="Arial CYR"/>
                <w:color w:val="000000"/>
                <w:sz w:val="20"/>
                <w:szCs w:val="20"/>
              </w:rPr>
              <w:t>Таким образом</w:t>
            </w:r>
            <w:r w:rsidR="0011603F" w:rsidRPr="00454313">
              <w:rPr>
                <w:rFonts w:ascii="Arial CYR" w:hAnsi="Arial CYR" w:cs="Arial CYR"/>
                <w:color w:val="000000"/>
                <w:sz w:val="20"/>
                <w:szCs w:val="20"/>
              </w:rPr>
              <w:t xml:space="preserve">, этот документ отражает позиции, </w:t>
            </w:r>
            <w:r w:rsidR="00740F5D" w:rsidRPr="00454313">
              <w:rPr>
                <w:rFonts w:ascii="Arial CYR" w:hAnsi="Arial CYR" w:cs="Arial CYR"/>
                <w:color w:val="000000"/>
                <w:sz w:val="20"/>
                <w:szCs w:val="20"/>
              </w:rPr>
              <w:t>представителей заинтересованных</w:t>
            </w:r>
            <w:r w:rsidR="0011603F" w:rsidRPr="00454313">
              <w:rPr>
                <w:rFonts w:ascii="Arial CYR" w:hAnsi="Arial CYR" w:cs="Arial CYR"/>
                <w:color w:val="000000"/>
                <w:sz w:val="20"/>
                <w:szCs w:val="20"/>
              </w:rPr>
              <w:t xml:space="preserve"> сторон в секторе </w:t>
            </w:r>
            <w:r w:rsidR="00D4583A">
              <w:rPr>
                <w:rFonts w:ascii="Arial CYR" w:hAnsi="Arial CYR" w:cs="Arial CYR"/>
                <w:color w:val="000000"/>
                <w:sz w:val="20"/>
                <w:szCs w:val="20"/>
              </w:rPr>
              <w:t>медицинских изделий</w:t>
            </w:r>
            <w:r w:rsidR="0011603F" w:rsidRPr="00454313">
              <w:rPr>
                <w:rFonts w:ascii="Arial CYR" w:hAnsi="Arial CYR" w:cs="Arial CYR"/>
                <w:color w:val="000000"/>
                <w:sz w:val="20"/>
                <w:szCs w:val="20"/>
              </w:rPr>
              <w:t>.</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Preface</w:t>
            </w:r>
          </w:p>
        </w:tc>
        <w:tc>
          <w:tcPr>
            <w:tcW w:w="8027" w:type="dxa"/>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Предисловие</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This document is intended to be a guide for manufacturers and Notified Bodies on how to carry out Post-Market Clinical Follow-up studies (PMCF) in order to fulfil Post-Market Surveillance (PMS) obligations according to Section 3.1 of Annex II, Section 3 of Annex IV, Section 3 of Annex V, Section 3.1 of Annex VI or Section 4 of Annex VII of the Medical Devices Directive (93/42/EEC)</w:t>
            </w:r>
            <w:r w:rsidR="00BA2A56" w:rsidRPr="00454313">
              <w:rPr>
                <w:rFonts w:ascii="Arial CYR" w:hAnsi="Arial CYR" w:cs="Arial CYR"/>
                <w:color w:val="000000"/>
                <w:sz w:val="20"/>
                <w:szCs w:val="20"/>
                <w:lang w:val="en-GB"/>
              </w:rPr>
              <w:br/>
            </w:r>
            <w:r w:rsidRPr="00454313">
              <w:rPr>
                <w:rFonts w:ascii="Arial CYR" w:hAnsi="Arial CYR" w:cs="Arial CYR"/>
                <w:color w:val="000000"/>
                <w:sz w:val="20"/>
                <w:szCs w:val="20"/>
                <w:lang w:val="en-GB"/>
              </w:rPr>
              <w:t xml:space="preserve">and Section 3.1 of Annex 2, Section 3 of Annex 4, Section 3.1 of Annex 5 of the Active Implantable Medical </w:t>
            </w:r>
            <w:r w:rsidR="00BA2A56" w:rsidRPr="00454313">
              <w:rPr>
                <w:rFonts w:ascii="Arial CYR" w:hAnsi="Arial CYR" w:cs="Arial CYR"/>
                <w:color w:val="000000"/>
                <w:sz w:val="20"/>
                <w:szCs w:val="20"/>
                <w:lang w:val="en-GB"/>
              </w:rPr>
              <w:t>Devices Directive (90/385/EEC).</w:t>
            </w:r>
            <w:r w:rsidR="00BA2A56" w:rsidRPr="00454313">
              <w:rPr>
                <w:rFonts w:ascii="Arial CYR" w:hAnsi="Arial CYR" w:cs="Arial CYR"/>
                <w:color w:val="000000"/>
                <w:sz w:val="20"/>
                <w:szCs w:val="20"/>
                <w:lang w:val="en-GB"/>
              </w:rPr>
              <w:br/>
            </w:r>
            <w:r w:rsidRPr="00454313">
              <w:rPr>
                <w:rFonts w:ascii="Arial CYR" w:hAnsi="Arial CYR" w:cs="Arial CYR"/>
                <w:color w:val="000000"/>
                <w:sz w:val="20"/>
                <w:szCs w:val="20"/>
                <w:lang w:val="en-GB"/>
              </w:rPr>
              <w:lastRenderedPageBreak/>
              <w:t>These Sections refer to requirements of Annex X of Directive 93/42/E</w:t>
            </w:r>
            <w:r w:rsidR="00BA2A56" w:rsidRPr="00454313">
              <w:rPr>
                <w:rFonts w:ascii="Arial CYR" w:hAnsi="Arial CYR" w:cs="Arial CYR"/>
                <w:color w:val="000000"/>
                <w:sz w:val="20"/>
                <w:szCs w:val="20"/>
                <w:lang w:val="en-GB"/>
              </w:rPr>
              <w:t>E</w:t>
            </w:r>
            <w:r w:rsidRPr="00454313">
              <w:rPr>
                <w:rFonts w:ascii="Arial CYR" w:hAnsi="Arial CYR" w:cs="Arial CYR"/>
                <w:color w:val="000000"/>
                <w:sz w:val="20"/>
                <w:szCs w:val="20"/>
                <w:lang w:val="en-GB"/>
              </w:rPr>
              <w:t>C and Annex 7 of Directive 90/385/EEC, respectively.</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Attention is drawn to paragraph 8 of Article 15 of Directive 93/42/EEC which spells out the provisions of Article 15 that are not applicable to clinical investigations conducted using CE-marked devices within their intended use.</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Similarly when PMCF studies are conducted using CE marked devices within their intended use, the provisions of section 2.3.5 of Annex X of Directive 93/42/EEC do not apply. However, the provisions of Directive 93/42/EEC concerning information and notification of incidents occurring following placing devices on the market are fully applicable.</w:t>
            </w:r>
          </w:p>
        </w:tc>
        <w:tc>
          <w:tcPr>
            <w:tcW w:w="8027" w:type="dxa"/>
          </w:tcPr>
          <w:p w:rsidR="0011603F" w:rsidRPr="00454313" w:rsidRDefault="00A066E7" w:rsidP="005B046D">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lastRenderedPageBreak/>
              <w:t>Данный</w:t>
            </w:r>
            <w:r w:rsidR="005B046D" w:rsidRPr="00454313">
              <w:rPr>
                <w:rFonts w:ascii="Arial CYR" w:hAnsi="Arial CYR" w:cs="Arial CYR"/>
                <w:color w:val="000000"/>
                <w:sz w:val="20"/>
                <w:szCs w:val="20"/>
              </w:rPr>
              <w:t xml:space="preserve"> документ предназначен </w:t>
            </w:r>
            <w:r w:rsidRPr="00454313">
              <w:rPr>
                <w:rFonts w:ascii="Arial CYR" w:hAnsi="Arial CYR" w:cs="Arial CYR"/>
                <w:color w:val="000000"/>
                <w:sz w:val="20"/>
                <w:szCs w:val="20"/>
              </w:rPr>
              <w:t>как</w:t>
            </w:r>
            <w:r w:rsidR="005B046D" w:rsidRPr="00454313">
              <w:rPr>
                <w:rFonts w:ascii="Arial CYR" w:hAnsi="Arial CYR" w:cs="Arial CYR"/>
                <w:color w:val="000000"/>
                <w:sz w:val="20"/>
                <w:szCs w:val="20"/>
              </w:rPr>
              <w:t xml:space="preserve"> руководство для производителей и Нотифицированных органов </w:t>
            </w:r>
            <w:r w:rsidRPr="00454313">
              <w:rPr>
                <w:rFonts w:ascii="Arial CYR" w:hAnsi="Arial CYR" w:cs="Arial CYR"/>
                <w:color w:val="000000"/>
                <w:sz w:val="20"/>
                <w:szCs w:val="20"/>
              </w:rPr>
              <w:t>по</w:t>
            </w:r>
            <w:r w:rsidR="005B046D" w:rsidRPr="00454313">
              <w:rPr>
                <w:rFonts w:ascii="Arial CYR" w:hAnsi="Arial CYR" w:cs="Arial CYR"/>
                <w:color w:val="000000"/>
                <w:sz w:val="20"/>
                <w:szCs w:val="20"/>
              </w:rPr>
              <w:t xml:space="preserve"> пров</w:t>
            </w:r>
            <w:r w:rsidRPr="00454313">
              <w:rPr>
                <w:rFonts w:ascii="Arial CYR" w:hAnsi="Arial CYR" w:cs="Arial CYR"/>
                <w:color w:val="000000"/>
                <w:sz w:val="20"/>
                <w:szCs w:val="20"/>
              </w:rPr>
              <w:t>едению</w:t>
            </w:r>
            <w:r w:rsidR="005B046D" w:rsidRPr="00454313">
              <w:rPr>
                <w:rFonts w:ascii="Arial CYR" w:hAnsi="Arial CYR" w:cs="Arial CYR"/>
                <w:color w:val="000000"/>
                <w:sz w:val="20"/>
                <w:szCs w:val="20"/>
              </w:rPr>
              <w:t xml:space="preserve"> пост-продажны</w:t>
            </w:r>
            <w:r w:rsidRPr="00454313">
              <w:rPr>
                <w:rFonts w:ascii="Arial CYR" w:hAnsi="Arial CYR" w:cs="Arial CYR"/>
                <w:color w:val="000000"/>
                <w:sz w:val="20"/>
                <w:szCs w:val="20"/>
              </w:rPr>
              <w:t>х</w:t>
            </w:r>
            <w:r w:rsidR="005B046D" w:rsidRPr="00454313">
              <w:rPr>
                <w:rFonts w:ascii="Arial CYR" w:hAnsi="Arial CYR" w:cs="Arial CYR"/>
                <w:color w:val="000000"/>
                <w:sz w:val="20"/>
                <w:szCs w:val="20"/>
              </w:rPr>
              <w:t xml:space="preserve"> катамнестически</w:t>
            </w:r>
            <w:r w:rsidRPr="00454313">
              <w:rPr>
                <w:rFonts w:ascii="Arial CYR" w:hAnsi="Arial CYR" w:cs="Arial CYR"/>
                <w:color w:val="000000"/>
                <w:sz w:val="20"/>
                <w:szCs w:val="20"/>
              </w:rPr>
              <w:t>х</w:t>
            </w:r>
            <w:r w:rsidR="005B046D" w:rsidRPr="00454313">
              <w:rPr>
                <w:rFonts w:ascii="Arial CYR" w:hAnsi="Arial CYR" w:cs="Arial CYR"/>
                <w:color w:val="000000"/>
                <w:sz w:val="20"/>
                <w:szCs w:val="20"/>
              </w:rPr>
              <w:t xml:space="preserve"> клинически</w:t>
            </w:r>
            <w:r w:rsidRPr="00454313">
              <w:rPr>
                <w:rFonts w:ascii="Arial CYR" w:hAnsi="Arial CYR" w:cs="Arial CYR"/>
                <w:color w:val="000000"/>
                <w:sz w:val="20"/>
                <w:szCs w:val="20"/>
              </w:rPr>
              <w:t>х</w:t>
            </w:r>
            <w:r w:rsidR="005B046D" w:rsidRPr="00454313">
              <w:rPr>
                <w:rFonts w:ascii="Arial CYR" w:hAnsi="Arial CYR" w:cs="Arial CYR"/>
                <w:color w:val="000000"/>
                <w:sz w:val="20"/>
                <w:szCs w:val="20"/>
              </w:rPr>
              <w:t xml:space="preserve"> исследовани</w:t>
            </w:r>
            <w:r w:rsidRPr="00454313">
              <w:rPr>
                <w:rFonts w:ascii="Arial CYR" w:hAnsi="Arial CYR" w:cs="Arial CYR"/>
                <w:color w:val="000000"/>
                <w:sz w:val="20"/>
                <w:szCs w:val="20"/>
              </w:rPr>
              <w:t>й</w:t>
            </w:r>
            <w:r w:rsidR="005B046D" w:rsidRPr="00454313">
              <w:rPr>
                <w:rFonts w:ascii="Arial CYR" w:hAnsi="Arial CYR" w:cs="Arial CYR"/>
                <w:color w:val="000000"/>
                <w:sz w:val="20"/>
                <w:szCs w:val="20"/>
              </w:rPr>
              <w:t xml:space="preserve"> (PMCF) </w:t>
            </w:r>
            <w:r w:rsidRPr="00454313">
              <w:rPr>
                <w:rFonts w:ascii="Arial CYR" w:hAnsi="Arial CYR" w:cs="Arial CYR"/>
                <w:color w:val="000000"/>
                <w:sz w:val="20"/>
                <w:szCs w:val="20"/>
              </w:rPr>
              <w:t>с целью</w:t>
            </w:r>
            <w:r w:rsidR="005B046D" w:rsidRPr="00454313">
              <w:rPr>
                <w:rFonts w:ascii="Arial CYR" w:hAnsi="Arial CYR" w:cs="Arial CYR"/>
                <w:color w:val="000000"/>
                <w:sz w:val="20"/>
                <w:szCs w:val="20"/>
              </w:rPr>
              <w:t xml:space="preserve"> выполн</w:t>
            </w:r>
            <w:r w:rsidRPr="00454313">
              <w:rPr>
                <w:rFonts w:ascii="Arial CYR" w:hAnsi="Arial CYR" w:cs="Arial CYR"/>
                <w:color w:val="000000"/>
                <w:sz w:val="20"/>
                <w:szCs w:val="20"/>
              </w:rPr>
              <w:t>ения</w:t>
            </w:r>
            <w:r w:rsidR="005B046D" w:rsidRPr="00454313">
              <w:rPr>
                <w:rFonts w:ascii="Arial CYR" w:hAnsi="Arial CYR" w:cs="Arial CYR"/>
                <w:color w:val="000000"/>
                <w:sz w:val="20"/>
                <w:szCs w:val="20"/>
              </w:rPr>
              <w:t xml:space="preserve"> обязательств по пост-продажному наблюдению (PMS) согласно требований</w:t>
            </w:r>
            <w:r w:rsidR="00BA2A56" w:rsidRPr="00454313">
              <w:rPr>
                <w:rFonts w:ascii="Arial CYR" w:hAnsi="Arial CYR" w:cs="Arial CYR"/>
                <w:color w:val="000000"/>
                <w:sz w:val="20"/>
                <w:szCs w:val="20"/>
              </w:rPr>
              <w:t xml:space="preserve"> </w:t>
            </w:r>
            <w:r w:rsidR="0011603F" w:rsidRPr="00454313">
              <w:rPr>
                <w:rFonts w:ascii="Arial CYR" w:hAnsi="Arial CYR" w:cs="Arial CYR"/>
                <w:color w:val="000000"/>
                <w:sz w:val="20"/>
                <w:szCs w:val="20"/>
              </w:rPr>
              <w:t>Раздел</w:t>
            </w:r>
            <w:r w:rsidR="005B046D" w:rsidRPr="00454313">
              <w:rPr>
                <w:rFonts w:ascii="Arial CYR" w:hAnsi="Arial CYR" w:cs="Arial CYR"/>
                <w:color w:val="000000"/>
                <w:sz w:val="20"/>
                <w:szCs w:val="20"/>
              </w:rPr>
              <w:t>а</w:t>
            </w:r>
            <w:r w:rsidR="0011603F" w:rsidRPr="00454313">
              <w:rPr>
                <w:rFonts w:ascii="Arial CYR" w:hAnsi="Arial CYR" w:cs="Arial CYR"/>
                <w:color w:val="000000"/>
                <w:sz w:val="20"/>
                <w:szCs w:val="20"/>
              </w:rPr>
              <w:t xml:space="preserve"> 3.1 из Приложения</w:t>
            </w:r>
            <w:r w:rsidR="00BA2A56" w:rsidRPr="00454313">
              <w:rPr>
                <w:rFonts w:ascii="Arial CYR" w:hAnsi="Arial CYR" w:cs="Arial CYR"/>
                <w:color w:val="000000"/>
                <w:sz w:val="20"/>
                <w:szCs w:val="20"/>
              </w:rPr>
              <w:t xml:space="preserve"> </w:t>
            </w:r>
            <w:r w:rsidR="00BA2A56" w:rsidRPr="00454313">
              <w:rPr>
                <w:rFonts w:ascii="Arial CYR" w:hAnsi="Arial CYR" w:cs="Arial CYR"/>
                <w:color w:val="000000"/>
                <w:sz w:val="20"/>
                <w:szCs w:val="20"/>
                <w:lang w:val="en-US"/>
              </w:rPr>
              <w:t>II</w:t>
            </w:r>
            <w:r w:rsidR="0011603F" w:rsidRPr="00454313">
              <w:rPr>
                <w:rFonts w:ascii="Arial CYR" w:hAnsi="Arial CYR" w:cs="Arial CYR"/>
                <w:color w:val="000000"/>
                <w:sz w:val="20"/>
                <w:szCs w:val="20"/>
              </w:rPr>
              <w:t xml:space="preserve">, Раздел 3 из Приложения IV, Раздел 3 из Приложения V, Раздел 3.1 из Приложения VI или Раздела 4 из Приложения VII из </w:t>
            </w:r>
            <w:r w:rsidR="0011603F" w:rsidRPr="00454313">
              <w:rPr>
                <w:rFonts w:ascii="Arial CYR" w:hAnsi="Arial CYR" w:cs="Arial CYR"/>
                <w:b/>
                <w:color w:val="000000"/>
                <w:sz w:val="20"/>
                <w:szCs w:val="20"/>
              </w:rPr>
              <w:t>Директивы 93/42/EEC</w:t>
            </w:r>
            <w:r w:rsidR="00BA2A56" w:rsidRPr="00454313">
              <w:rPr>
                <w:rFonts w:ascii="Arial CYR" w:hAnsi="Arial CYR" w:cs="Arial CYR"/>
                <w:color w:val="000000"/>
                <w:sz w:val="20"/>
                <w:szCs w:val="20"/>
              </w:rPr>
              <w:br/>
            </w:r>
            <w:r w:rsidR="0011603F" w:rsidRPr="00454313">
              <w:rPr>
                <w:rFonts w:ascii="Arial CYR" w:hAnsi="Arial CYR" w:cs="Arial CYR"/>
                <w:color w:val="000000"/>
                <w:sz w:val="20"/>
                <w:szCs w:val="20"/>
              </w:rPr>
              <w:t xml:space="preserve">и Раздела 3.1 из Приложения 2, Раздел 3 из Приложения 4, Раздел 3.1 из Приложения 5 из </w:t>
            </w:r>
            <w:r w:rsidR="00BA2A56" w:rsidRPr="00454313">
              <w:rPr>
                <w:rFonts w:ascii="Arial CYR" w:hAnsi="Arial CYR" w:cs="Arial CYR"/>
                <w:color w:val="000000"/>
                <w:sz w:val="20"/>
                <w:szCs w:val="20"/>
              </w:rPr>
              <w:t xml:space="preserve">Директивы </w:t>
            </w:r>
            <w:r w:rsidR="00BA2A56" w:rsidRPr="00454313">
              <w:rPr>
                <w:rFonts w:ascii="Arial CYR" w:hAnsi="Arial CYR" w:cs="Arial CYR"/>
                <w:b/>
                <w:color w:val="000000"/>
                <w:sz w:val="20"/>
                <w:szCs w:val="20"/>
              </w:rPr>
              <w:t>90/385/EEC</w:t>
            </w:r>
            <w:r w:rsidR="00BA2A56" w:rsidRPr="00454313">
              <w:rPr>
                <w:rFonts w:ascii="Arial CYR" w:hAnsi="Arial CYR" w:cs="Arial CYR"/>
                <w:color w:val="000000"/>
                <w:sz w:val="20"/>
                <w:szCs w:val="20"/>
              </w:rPr>
              <w:t>.</w:t>
            </w:r>
            <w:r w:rsidR="00BA2A56" w:rsidRPr="00454313">
              <w:rPr>
                <w:rFonts w:ascii="Arial CYR" w:hAnsi="Arial CYR" w:cs="Arial CYR"/>
                <w:color w:val="000000"/>
                <w:sz w:val="20"/>
                <w:szCs w:val="20"/>
              </w:rPr>
              <w:br/>
            </w:r>
            <w:r w:rsidR="0011603F" w:rsidRPr="00454313">
              <w:rPr>
                <w:rFonts w:ascii="Arial CYR" w:hAnsi="Arial CYR" w:cs="Arial CYR"/>
                <w:color w:val="000000"/>
                <w:sz w:val="20"/>
                <w:szCs w:val="20"/>
              </w:rPr>
              <w:lastRenderedPageBreak/>
              <w:t>Эти Разделы отсылают к требованиям Приложения X из Директивы 93/42 и Приложения 7 из Директивы 90/385, соответственно.</w:t>
            </w:r>
          </w:p>
          <w:p w:rsidR="0011603F" w:rsidRPr="00454313" w:rsidRDefault="00BA2A56">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Обращается внимание на</w:t>
            </w:r>
            <w:r w:rsidR="0011603F" w:rsidRPr="00454313">
              <w:rPr>
                <w:rFonts w:ascii="Arial CYR" w:hAnsi="Arial CYR" w:cs="Arial CYR"/>
                <w:color w:val="000000"/>
                <w:sz w:val="20"/>
                <w:szCs w:val="20"/>
              </w:rPr>
              <w:t xml:space="preserve"> параграф 8 Статьи 15 Директивы 93/42, которая </w:t>
            </w:r>
            <w:r w:rsidRPr="00454313">
              <w:rPr>
                <w:rFonts w:ascii="Arial CYR" w:hAnsi="Arial CYR" w:cs="Arial CYR"/>
                <w:color w:val="000000"/>
                <w:sz w:val="20"/>
                <w:szCs w:val="20"/>
              </w:rPr>
              <w:t xml:space="preserve">излагает положения </w:t>
            </w:r>
            <w:r w:rsidR="0011603F" w:rsidRPr="00454313">
              <w:rPr>
                <w:rFonts w:ascii="Arial CYR" w:hAnsi="Arial CYR" w:cs="Arial CYR"/>
                <w:color w:val="000000"/>
                <w:sz w:val="20"/>
                <w:szCs w:val="20"/>
              </w:rPr>
              <w:t xml:space="preserve">Статьи 15, которые не применимы к клиническим исследованиям, </w:t>
            </w:r>
            <w:r w:rsidR="00B65C7A" w:rsidRPr="00454313">
              <w:rPr>
                <w:rFonts w:ascii="Arial CYR" w:hAnsi="Arial CYR" w:cs="Arial CYR"/>
                <w:color w:val="000000"/>
                <w:sz w:val="20"/>
                <w:szCs w:val="20"/>
              </w:rPr>
              <w:t>проведённым</w:t>
            </w:r>
            <w:r w:rsidR="008763B7" w:rsidRPr="00454313">
              <w:rPr>
                <w:rFonts w:ascii="Arial CYR" w:hAnsi="Arial CYR" w:cs="Arial CYR"/>
                <w:color w:val="000000"/>
                <w:sz w:val="20"/>
                <w:szCs w:val="20"/>
              </w:rPr>
              <w:t xml:space="preserve"> с использованием</w:t>
            </w:r>
            <w:r w:rsidR="0011603F" w:rsidRPr="00454313">
              <w:rPr>
                <w:rFonts w:ascii="Arial CYR" w:hAnsi="Arial CYR" w:cs="Arial CYR"/>
                <w:color w:val="000000"/>
                <w:sz w:val="20"/>
                <w:szCs w:val="20"/>
              </w:rPr>
              <w:t xml:space="preserve"> CE-</w:t>
            </w:r>
            <w:r w:rsidR="008763B7" w:rsidRPr="00454313">
              <w:rPr>
                <w:rFonts w:ascii="Arial CYR" w:hAnsi="Arial CYR" w:cs="Arial CYR"/>
                <w:color w:val="000000"/>
                <w:sz w:val="20"/>
                <w:szCs w:val="20"/>
              </w:rPr>
              <w:t xml:space="preserve">маркированных </w:t>
            </w:r>
            <w:r w:rsidR="00AA15C3">
              <w:rPr>
                <w:rFonts w:ascii="Arial CYR" w:hAnsi="Arial CYR" w:cs="Arial CYR"/>
                <w:color w:val="000000"/>
                <w:sz w:val="20"/>
                <w:szCs w:val="20"/>
              </w:rPr>
              <w:t>изделий</w:t>
            </w:r>
            <w:r w:rsidR="008763B7" w:rsidRPr="00454313">
              <w:rPr>
                <w:rFonts w:ascii="Arial CYR" w:hAnsi="Arial CYR" w:cs="Arial CYR"/>
                <w:color w:val="000000"/>
                <w:sz w:val="20"/>
                <w:szCs w:val="20"/>
              </w:rPr>
              <w:t xml:space="preserve"> </w:t>
            </w:r>
            <w:r w:rsidR="0011603F" w:rsidRPr="00454313">
              <w:rPr>
                <w:rFonts w:ascii="Arial CYR" w:hAnsi="Arial CYR" w:cs="Arial CYR"/>
                <w:color w:val="000000"/>
                <w:sz w:val="20"/>
                <w:szCs w:val="20"/>
              </w:rPr>
              <w:t xml:space="preserve">в пределах их </w:t>
            </w:r>
            <w:r w:rsidR="008763B7" w:rsidRPr="00454313">
              <w:rPr>
                <w:rFonts w:ascii="Arial CYR" w:hAnsi="Arial CYR" w:cs="Arial CYR"/>
                <w:color w:val="000000"/>
                <w:sz w:val="20"/>
                <w:szCs w:val="20"/>
              </w:rPr>
              <w:t xml:space="preserve">предназначенного </w:t>
            </w:r>
            <w:r w:rsidR="0011603F" w:rsidRPr="00454313">
              <w:rPr>
                <w:rFonts w:ascii="Arial CYR" w:hAnsi="Arial CYR" w:cs="Arial CYR"/>
                <w:color w:val="000000"/>
                <w:sz w:val="20"/>
                <w:szCs w:val="20"/>
              </w:rPr>
              <w:t>использования.</w:t>
            </w:r>
          </w:p>
          <w:p w:rsidR="0011603F" w:rsidRPr="00454313" w:rsidRDefault="0011603F" w:rsidP="008763B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Та же</w:t>
            </w:r>
            <w:r w:rsidR="008763B7" w:rsidRPr="00454313">
              <w:rPr>
                <w:rFonts w:ascii="Arial CYR" w:hAnsi="Arial CYR" w:cs="Arial CYR"/>
                <w:color w:val="000000"/>
                <w:sz w:val="20"/>
                <w:szCs w:val="20"/>
              </w:rPr>
              <w:t xml:space="preserve"> ситуация</w:t>
            </w:r>
            <w:r w:rsidRPr="00454313">
              <w:rPr>
                <w:rFonts w:ascii="Arial CYR" w:hAnsi="Arial CYR" w:cs="Arial CYR"/>
                <w:color w:val="000000"/>
                <w:sz w:val="20"/>
                <w:szCs w:val="20"/>
              </w:rPr>
              <w:t xml:space="preserve">, когда </w:t>
            </w:r>
            <w:r w:rsidR="003B2BA2" w:rsidRPr="00454313">
              <w:rPr>
                <w:rFonts w:ascii="Arial CYR" w:hAnsi="Arial CYR" w:cs="Arial CYR"/>
                <w:color w:val="000000"/>
                <w:sz w:val="20"/>
                <w:szCs w:val="20"/>
              </w:rPr>
              <w:t>PMCF исследования</w:t>
            </w:r>
            <w:r w:rsidRPr="00454313">
              <w:rPr>
                <w:rFonts w:ascii="Arial CYR" w:hAnsi="Arial CYR" w:cs="Arial CYR"/>
                <w:color w:val="000000"/>
                <w:sz w:val="20"/>
                <w:szCs w:val="20"/>
              </w:rPr>
              <w:t xml:space="preserve"> проводятся, используя CE</w:t>
            </w:r>
            <w:r w:rsidR="008763B7" w:rsidRPr="00454313">
              <w:rPr>
                <w:rFonts w:ascii="Arial CYR" w:hAnsi="Arial CYR" w:cs="Arial CYR"/>
                <w:color w:val="000000"/>
                <w:sz w:val="20"/>
                <w:szCs w:val="20"/>
              </w:rPr>
              <w:t>-маркирован</w:t>
            </w:r>
            <w:r w:rsidR="008763B7" w:rsidRPr="00454313">
              <w:rPr>
                <w:rFonts w:ascii="Arial CYR" w:hAnsi="Arial CYR" w:cs="Arial CYR"/>
                <w:color w:val="000000"/>
                <w:sz w:val="20"/>
                <w:szCs w:val="20"/>
              </w:rPr>
              <w:softHyphen/>
              <w:t>ные</w:t>
            </w:r>
            <w:r w:rsidRPr="00454313">
              <w:rPr>
                <w:rFonts w:ascii="Arial CYR" w:hAnsi="Arial CYR" w:cs="Arial CYR"/>
                <w:color w:val="000000"/>
                <w:sz w:val="20"/>
                <w:szCs w:val="20"/>
              </w:rPr>
              <w:t xml:space="preserve"> </w:t>
            </w:r>
            <w:r w:rsidR="00AA15C3">
              <w:rPr>
                <w:rFonts w:ascii="Arial CYR" w:hAnsi="Arial CYR" w:cs="Arial CYR"/>
                <w:color w:val="000000"/>
                <w:sz w:val="20"/>
                <w:szCs w:val="20"/>
              </w:rPr>
              <w:t>изделия</w:t>
            </w:r>
            <w:r w:rsidRPr="00454313">
              <w:rPr>
                <w:rFonts w:ascii="Arial CYR" w:hAnsi="Arial CYR" w:cs="Arial CYR"/>
                <w:color w:val="000000"/>
                <w:sz w:val="20"/>
                <w:szCs w:val="20"/>
              </w:rPr>
              <w:t xml:space="preserve"> в пределах их </w:t>
            </w:r>
            <w:r w:rsidR="008763B7" w:rsidRPr="00454313">
              <w:rPr>
                <w:rFonts w:ascii="Arial CYR" w:hAnsi="Arial CYR" w:cs="Arial CYR"/>
                <w:color w:val="000000"/>
                <w:sz w:val="20"/>
                <w:szCs w:val="20"/>
              </w:rPr>
              <w:t>предназначе</w:t>
            </w:r>
            <w:r w:rsidRPr="00454313">
              <w:rPr>
                <w:rFonts w:ascii="Arial CYR" w:hAnsi="Arial CYR" w:cs="Arial CYR"/>
                <w:color w:val="000000"/>
                <w:sz w:val="20"/>
                <w:szCs w:val="20"/>
              </w:rPr>
              <w:t xml:space="preserve">нного использования, положений раздела 2.3.5 из Приложения, которое не применяют X из Директивы 93/42/EEC. Однако, положения Директивы 93/42/EEC относительно информации и уведомления о появлении инцидентов после размещения </w:t>
            </w:r>
            <w:r w:rsidR="00AA15C3">
              <w:rPr>
                <w:rFonts w:ascii="Arial CYR" w:hAnsi="Arial CYR" w:cs="Arial CYR"/>
                <w:color w:val="000000"/>
                <w:sz w:val="20"/>
                <w:szCs w:val="20"/>
              </w:rPr>
              <w:t>изделий</w:t>
            </w:r>
            <w:r w:rsidRPr="00454313">
              <w:rPr>
                <w:rFonts w:ascii="Arial CYR" w:hAnsi="Arial CYR" w:cs="Arial CYR"/>
                <w:color w:val="000000"/>
                <w:sz w:val="20"/>
                <w:szCs w:val="20"/>
              </w:rPr>
              <w:t xml:space="preserve"> на рынке полностью применимы.</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lastRenderedPageBreak/>
              <w:t>1. Introduction</w:t>
            </w:r>
          </w:p>
        </w:tc>
        <w:tc>
          <w:tcPr>
            <w:tcW w:w="8027" w:type="dxa"/>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1. Введение</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While clinical evidence is an essential element of the premarket conformity assessment process to demonstrate conformity to Essential Requirements, it is important to recognise that there may be limitations to the clinical data available in the pre-market phase. Such limitations may be due to the duration of pre-market clinical investigations, the number of subjects and investigators involved in an investigation, the relative heterogeneity of subjects and investigators and/or the controlled setting of a clinical investigation versus the full range of clinical conditions encountered in general medical practice.</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A precondition for placing a product on the market is that conformity to the relevant Essential Requirements, including a favourable benefit/risk ratio, has been demonstrated. The extent of the data that can be gathered in the pre-market phase does not necessarily enable the manufacturer to detect rare complications or problems that only become apparent after wide-spread or long term use of the device. As part of the manufacturer’s quality system, an appropriate post-market surveillance plan is key to identifying and investigating residual risks associated with the use of medical devices placed on the market. These residual risks should be investigated and assessed in the post-market phase through systematic Post-Market Clinical Follow-up (PMCF) study(</w:t>
            </w:r>
            <w:proofErr w:type="spellStart"/>
            <w:r w:rsidRPr="00454313">
              <w:rPr>
                <w:rFonts w:ascii="Arial CYR" w:hAnsi="Arial CYR" w:cs="Arial CYR"/>
                <w:color w:val="000000"/>
                <w:sz w:val="20"/>
                <w:szCs w:val="20"/>
                <w:lang w:val="en-GB"/>
              </w:rPr>
              <w:t>ies</w:t>
            </w:r>
            <w:proofErr w:type="spellEnd"/>
            <w:r w:rsidRPr="00454313">
              <w:rPr>
                <w:rFonts w:ascii="Arial CYR" w:hAnsi="Arial CYR" w:cs="Arial CYR"/>
                <w:color w:val="000000"/>
                <w:sz w:val="20"/>
                <w:szCs w:val="20"/>
                <w:lang w:val="en-GB"/>
              </w:rPr>
              <w:t>).</w:t>
            </w:r>
          </w:p>
        </w:tc>
        <w:tc>
          <w:tcPr>
            <w:tcW w:w="8027"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В то время как клинические данные - существенный элемент предпродажного процесса оценки соответствия, чтобы продемонстрировать соответствие Существенным Требованиям, важно признать, что могут быть ограничения к клиническим доступным данным в предпродажную фазу. Такие ограничения могут быть вследствие продолжительности предпродажных клинических исследований, количества субъектов и исследователей, </w:t>
            </w:r>
            <w:r w:rsidR="00B65C7A" w:rsidRPr="00454313">
              <w:rPr>
                <w:rFonts w:ascii="Arial CYR" w:hAnsi="Arial CYR" w:cs="Arial CYR"/>
                <w:color w:val="000000"/>
                <w:sz w:val="20"/>
                <w:szCs w:val="20"/>
              </w:rPr>
              <w:t>вовлечённых</w:t>
            </w:r>
            <w:r w:rsidRPr="00454313">
              <w:rPr>
                <w:rFonts w:ascii="Arial CYR" w:hAnsi="Arial CYR" w:cs="Arial CYR"/>
                <w:color w:val="000000"/>
                <w:sz w:val="20"/>
                <w:szCs w:val="20"/>
              </w:rPr>
              <w:t xml:space="preserve"> в исследование, относительную гетерогенность субъектов и исследователей и/или установления, которым управляют, клинического исследования против полного спектра клинических условий, с которыми сталкиваются в общей медицинской практике.</w:t>
            </w:r>
          </w:p>
          <w:p w:rsidR="0011603F" w:rsidRPr="00454313" w:rsidRDefault="0011603F" w:rsidP="00C53DB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Предварительное условие для того, чтобы разместить продукт на рынке - то, что соответствие соответствующим Существенным Требованиям, включая благоприятное отношение преимущества/риска, было продемонстрировано. Степень данных, которые могут быть собраны в предпродажную фазу, не обязательно позволяет производителю обнаружить редкие осложнения или задачи, которые только становятся очевидными после того, как </w:t>
            </w:r>
            <w:r w:rsidR="001C7C48" w:rsidRPr="00454313">
              <w:rPr>
                <w:rFonts w:ascii="Arial CYR" w:hAnsi="Arial CYR" w:cs="Arial CYR"/>
                <w:color w:val="000000"/>
                <w:sz w:val="20"/>
                <w:szCs w:val="20"/>
              </w:rPr>
              <w:t>распространённый</w:t>
            </w:r>
            <w:r w:rsidRPr="00454313">
              <w:rPr>
                <w:rFonts w:ascii="Arial CYR" w:hAnsi="Arial CYR" w:cs="Arial CYR"/>
                <w:color w:val="000000"/>
                <w:sz w:val="20"/>
                <w:szCs w:val="20"/>
              </w:rPr>
              <w:t xml:space="preserve"> или длительный срок используют </w:t>
            </w:r>
            <w:r w:rsidR="00D4583A">
              <w:rPr>
                <w:rFonts w:ascii="Arial CYR" w:hAnsi="Arial CYR" w:cs="Arial CYR"/>
                <w:color w:val="000000"/>
                <w:sz w:val="20"/>
                <w:szCs w:val="20"/>
              </w:rPr>
              <w:t>изделия</w:t>
            </w:r>
            <w:r w:rsidRPr="00454313">
              <w:rPr>
                <w:rFonts w:ascii="Arial CYR" w:hAnsi="Arial CYR" w:cs="Arial CYR"/>
                <w:color w:val="000000"/>
                <w:sz w:val="20"/>
                <w:szCs w:val="20"/>
              </w:rPr>
              <w:t>. Как часть системы качества производителя, адекватный план пост-</w:t>
            </w:r>
            <w:r w:rsidR="00C76919" w:rsidRPr="00454313">
              <w:rPr>
                <w:rFonts w:ascii="Arial CYR" w:hAnsi="Arial CYR" w:cs="Arial CYR"/>
                <w:color w:val="000000"/>
                <w:sz w:val="20"/>
                <w:szCs w:val="20"/>
              </w:rPr>
              <w:t>продажного</w:t>
            </w:r>
            <w:r w:rsidRPr="00454313">
              <w:rPr>
                <w:rFonts w:ascii="Arial CYR" w:hAnsi="Arial CYR" w:cs="Arial CYR"/>
                <w:color w:val="000000"/>
                <w:sz w:val="20"/>
                <w:szCs w:val="20"/>
              </w:rPr>
              <w:t xml:space="preserve"> наблюдения (PMS) - ключ к идентификации и исследованию остаточных рисков, связанных с использованием </w:t>
            </w:r>
            <w:r w:rsidR="00D4583A">
              <w:rPr>
                <w:rFonts w:ascii="Arial CYR" w:hAnsi="Arial CYR" w:cs="Arial CYR"/>
                <w:color w:val="000000"/>
                <w:sz w:val="20"/>
                <w:szCs w:val="20"/>
              </w:rPr>
              <w:t>медицинских изделий</w:t>
            </w:r>
            <w:r w:rsidRPr="00454313">
              <w:rPr>
                <w:rFonts w:ascii="Arial CYR" w:hAnsi="Arial CYR" w:cs="Arial CYR"/>
                <w:color w:val="000000"/>
                <w:sz w:val="20"/>
                <w:szCs w:val="20"/>
              </w:rPr>
              <w:t xml:space="preserve">, </w:t>
            </w:r>
            <w:r w:rsidR="001C7C48" w:rsidRPr="00454313">
              <w:rPr>
                <w:rFonts w:ascii="Arial CYR" w:hAnsi="Arial CYR" w:cs="Arial CYR"/>
                <w:color w:val="000000"/>
                <w:sz w:val="20"/>
                <w:szCs w:val="20"/>
              </w:rPr>
              <w:t>размещённых</w:t>
            </w:r>
            <w:r w:rsidRPr="00454313">
              <w:rPr>
                <w:rFonts w:ascii="Arial CYR" w:hAnsi="Arial CYR" w:cs="Arial CYR"/>
                <w:color w:val="000000"/>
                <w:sz w:val="20"/>
                <w:szCs w:val="20"/>
              </w:rPr>
              <w:t xml:space="preserve"> на рынке. Эти остаточные риски должны быть исследованы и оценены в пост</w:t>
            </w:r>
            <w:r w:rsidR="001C7C48" w:rsidRPr="00454313">
              <w:rPr>
                <w:rFonts w:ascii="Arial CYR" w:hAnsi="Arial CYR" w:cs="Arial CYR"/>
                <w:color w:val="000000"/>
                <w:sz w:val="20"/>
                <w:szCs w:val="20"/>
              </w:rPr>
              <w:t>-</w:t>
            </w:r>
            <w:r w:rsidR="00C76919" w:rsidRPr="00454313">
              <w:rPr>
                <w:rFonts w:ascii="Arial CYR" w:hAnsi="Arial CYR" w:cs="Arial CYR"/>
                <w:color w:val="000000"/>
                <w:sz w:val="20"/>
                <w:szCs w:val="20"/>
              </w:rPr>
              <w:t>продажн</w:t>
            </w:r>
            <w:r w:rsidRPr="00454313">
              <w:rPr>
                <w:rFonts w:ascii="Arial CYR" w:hAnsi="Arial CYR" w:cs="Arial CYR"/>
                <w:color w:val="000000"/>
                <w:sz w:val="20"/>
                <w:szCs w:val="20"/>
              </w:rPr>
              <w:t>ую фазу посредством систематического</w:t>
            </w:r>
            <w:r w:rsidR="00C53DBF" w:rsidRPr="00454313">
              <w:rPr>
                <w:rFonts w:ascii="Arial CYR" w:hAnsi="Arial CYR" w:cs="Arial CYR"/>
                <w:color w:val="000000"/>
                <w:sz w:val="20"/>
                <w:szCs w:val="20"/>
              </w:rPr>
              <w:t xml:space="preserve"> изучения отдалённых результатов применения (катамнестических клинических наблюдений), далее </w:t>
            </w:r>
            <w:r w:rsidRPr="00454313">
              <w:rPr>
                <w:rFonts w:ascii="Arial CYR" w:hAnsi="Arial CYR" w:cs="Arial CYR"/>
                <w:color w:val="000000"/>
                <w:sz w:val="20"/>
                <w:szCs w:val="20"/>
              </w:rPr>
              <w:t>PMCF.</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Clinical data obtained from post-market surveillance and during PMCF studies by the manufacturer are not intended to replace the pre-market data necessary to demonstrate conformity with the provisions of the legislation. However, they are critical to update the clinical evaluation throughout the life-cycle of the medical device and to ensure the long term safety and performance of devices after their placing on the market.</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PMCF studies are one of several options available in post-market surveillance and contribute to the risk management process.</w:t>
            </w:r>
          </w:p>
        </w:tc>
        <w:tc>
          <w:tcPr>
            <w:tcW w:w="8027"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Клинические данные, полученные из пост-</w:t>
            </w:r>
            <w:r w:rsidR="00C76919" w:rsidRPr="00454313">
              <w:rPr>
                <w:rFonts w:ascii="Arial CYR" w:hAnsi="Arial CYR" w:cs="Arial CYR"/>
                <w:color w:val="000000"/>
                <w:sz w:val="20"/>
                <w:szCs w:val="20"/>
              </w:rPr>
              <w:t>продажного</w:t>
            </w:r>
            <w:r w:rsidRPr="00454313">
              <w:rPr>
                <w:rFonts w:ascii="Arial CYR" w:hAnsi="Arial CYR" w:cs="Arial CYR"/>
                <w:color w:val="000000"/>
                <w:sz w:val="20"/>
                <w:szCs w:val="20"/>
              </w:rPr>
              <w:t xml:space="preserve"> наблюдения (PMS) и </w:t>
            </w:r>
            <w:proofErr w:type="gramStart"/>
            <w:r w:rsidRPr="00454313">
              <w:rPr>
                <w:rFonts w:ascii="Arial CYR" w:hAnsi="Arial CYR" w:cs="Arial CYR"/>
                <w:color w:val="000000"/>
                <w:sz w:val="20"/>
                <w:szCs w:val="20"/>
              </w:rPr>
              <w:t>во время</w:t>
            </w:r>
            <w:proofErr w:type="gramEnd"/>
            <w:r w:rsidRPr="00454313">
              <w:rPr>
                <w:rFonts w:ascii="Arial CYR" w:hAnsi="Arial CYR" w:cs="Arial CYR"/>
                <w:color w:val="000000"/>
                <w:sz w:val="20"/>
                <w:szCs w:val="20"/>
              </w:rPr>
              <w:t xml:space="preserve"> </w:t>
            </w:r>
            <w:r w:rsidR="001C7C48" w:rsidRPr="00454313">
              <w:rPr>
                <w:rFonts w:ascii="Arial CYR" w:hAnsi="Arial CYR" w:cs="Arial CYR"/>
                <w:color w:val="000000"/>
                <w:sz w:val="20"/>
                <w:szCs w:val="20"/>
              </w:rPr>
              <w:t xml:space="preserve">PMCF </w:t>
            </w:r>
            <w:r w:rsidRPr="00454313">
              <w:rPr>
                <w:rFonts w:ascii="Arial CYR" w:hAnsi="Arial CYR" w:cs="Arial CYR"/>
                <w:color w:val="000000"/>
                <w:sz w:val="20"/>
                <w:szCs w:val="20"/>
              </w:rPr>
              <w:t xml:space="preserve">исследований производителем, не предназначаются, чтобы заменить предпродажные данные, необходимые, чтобы продемонстрировать соответствие с положениями законодательства. Однако, они </w:t>
            </w:r>
            <w:r w:rsidR="001C7C48" w:rsidRPr="00454313">
              <w:rPr>
                <w:rFonts w:ascii="Arial CYR" w:hAnsi="Arial CYR" w:cs="Arial CYR"/>
                <w:color w:val="000000"/>
                <w:sz w:val="20"/>
                <w:szCs w:val="20"/>
              </w:rPr>
              <w:t>критичны при</w:t>
            </w:r>
            <w:r w:rsidRPr="00454313">
              <w:rPr>
                <w:rFonts w:ascii="Arial CYR" w:hAnsi="Arial CYR" w:cs="Arial CYR"/>
                <w:color w:val="000000"/>
                <w:sz w:val="20"/>
                <w:szCs w:val="20"/>
              </w:rPr>
              <w:t xml:space="preserve"> обнов</w:t>
            </w:r>
            <w:r w:rsidR="001C7C48" w:rsidRPr="00454313">
              <w:rPr>
                <w:rFonts w:ascii="Arial CYR" w:hAnsi="Arial CYR" w:cs="Arial CYR"/>
                <w:color w:val="000000"/>
                <w:sz w:val="20"/>
                <w:szCs w:val="20"/>
              </w:rPr>
              <w:t>лении</w:t>
            </w:r>
            <w:r w:rsidRPr="00454313">
              <w:rPr>
                <w:rFonts w:ascii="Arial CYR" w:hAnsi="Arial CYR" w:cs="Arial CYR"/>
                <w:color w:val="000000"/>
                <w:sz w:val="20"/>
                <w:szCs w:val="20"/>
              </w:rPr>
              <w:t xml:space="preserve"> клиническ</w:t>
            </w:r>
            <w:r w:rsidR="001C7C48" w:rsidRPr="00454313">
              <w:rPr>
                <w:rFonts w:ascii="Arial CYR" w:hAnsi="Arial CYR" w:cs="Arial CYR"/>
                <w:color w:val="000000"/>
                <w:sz w:val="20"/>
                <w:szCs w:val="20"/>
              </w:rPr>
              <w:t>ой</w:t>
            </w:r>
            <w:r w:rsidRPr="00454313">
              <w:rPr>
                <w:rFonts w:ascii="Arial CYR" w:hAnsi="Arial CYR" w:cs="Arial CYR"/>
                <w:color w:val="000000"/>
                <w:sz w:val="20"/>
                <w:szCs w:val="20"/>
              </w:rPr>
              <w:t xml:space="preserve"> оценк</w:t>
            </w:r>
            <w:r w:rsidR="001C7C48" w:rsidRPr="00454313">
              <w:rPr>
                <w:rFonts w:ascii="Arial CYR" w:hAnsi="Arial CYR" w:cs="Arial CYR"/>
                <w:color w:val="000000"/>
                <w:sz w:val="20"/>
                <w:szCs w:val="20"/>
              </w:rPr>
              <w:t>и</w:t>
            </w:r>
            <w:r w:rsidRPr="00454313">
              <w:rPr>
                <w:rFonts w:ascii="Arial CYR" w:hAnsi="Arial CYR" w:cs="Arial CYR"/>
                <w:color w:val="000000"/>
                <w:sz w:val="20"/>
                <w:szCs w:val="20"/>
              </w:rPr>
              <w:t xml:space="preserve"> в течение жизненного цикла </w:t>
            </w:r>
            <w:r w:rsidR="00D4583A">
              <w:rPr>
                <w:rFonts w:ascii="Arial CYR" w:hAnsi="Arial CYR" w:cs="Arial CYR"/>
                <w:color w:val="000000"/>
                <w:sz w:val="20"/>
                <w:szCs w:val="20"/>
              </w:rPr>
              <w:t xml:space="preserve">МИ </w:t>
            </w:r>
            <w:r w:rsidRPr="00454313">
              <w:rPr>
                <w:rFonts w:ascii="Arial CYR" w:hAnsi="Arial CYR" w:cs="Arial CYR"/>
                <w:color w:val="000000"/>
                <w:sz w:val="20"/>
                <w:szCs w:val="20"/>
              </w:rPr>
              <w:t>и обеспеч</w:t>
            </w:r>
            <w:r w:rsidR="001C7C48" w:rsidRPr="00454313">
              <w:rPr>
                <w:rFonts w:ascii="Arial CYR" w:hAnsi="Arial CYR" w:cs="Arial CYR"/>
                <w:color w:val="000000"/>
                <w:sz w:val="20"/>
                <w:szCs w:val="20"/>
              </w:rPr>
              <w:t>ении</w:t>
            </w:r>
            <w:r w:rsidRPr="00454313">
              <w:rPr>
                <w:rFonts w:ascii="Arial CYR" w:hAnsi="Arial CYR" w:cs="Arial CYR"/>
                <w:color w:val="000000"/>
                <w:sz w:val="20"/>
                <w:szCs w:val="20"/>
              </w:rPr>
              <w:t xml:space="preserve"> </w:t>
            </w:r>
            <w:r w:rsidR="001C7C48" w:rsidRPr="00454313">
              <w:rPr>
                <w:rFonts w:ascii="Arial CYR" w:hAnsi="Arial CYR" w:cs="Arial CYR"/>
                <w:color w:val="000000"/>
                <w:sz w:val="20"/>
                <w:szCs w:val="20"/>
              </w:rPr>
              <w:t xml:space="preserve">долговременной </w:t>
            </w:r>
            <w:r w:rsidRPr="00454313">
              <w:rPr>
                <w:rFonts w:ascii="Arial CYR" w:hAnsi="Arial CYR" w:cs="Arial CYR"/>
                <w:color w:val="000000"/>
                <w:sz w:val="20"/>
                <w:szCs w:val="20"/>
              </w:rPr>
              <w:t>безопасност</w:t>
            </w:r>
            <w:r w:rsidR="001C7C48" w:rsidRPr="00454313">
              <w:rPr>
                <w:rFonts w:ascii="Arial CYR" w:hAnsi="Arial CYR" w:cs="Arial CYR"/>
                <w:color w:val="000000"/>
                <w:sz w:val="20"/>
                <w:szCs w:val="20"/>
              </w:rPr>
              <w:t>и</w:t>
            </w:r>
            <w:r w:rsidRPr="00454313">
              <w:rPr>
                <w:rFonts w:ascii="Arial CYR" w:hAnsi="Arial CYR" w:cs="Arial CYR"/>
                <w:color w:val="000000"/>
                <w:sz w:val="20"/>
                <w:szCs w:val="20"/>
              </w:rPr>
              <w:t xml:space="preserve"> и </w:t>
            </w:r>
            <w:r w:rsidR="001C7C48" w:rsidRPr="00454313">
              <w:rPr>
                <w:rFonts w:ascii="Arial CYR" w:hAnsi="Arial CYR" w:cs="Arial CYR"/>
                <w:color w:val="000000"/>
                <w:sz w:val="20"/>
                <w:szCs w:val="20"/>
              </w:rPr>
              <w:t xml:space="preserve">эксплуатационных </w:t>
            </w:r>
            <w:r w:rsidR="00744605" w:rsidRPr="00454313">
              <w:rPr>
                <w:rFonts w:ascii="Arial CYR" w:hAnsi="Arial CYR" w:cs="Arial CYR"/>
                <w:color w:val="000000"/>
                <w:sz w:val="20"/>
                <w:szCs w:val="20"/>
              </w:rPr>
              <w:t>характеристик</w:t>
            </w:r>
            <w:r w:rsidR="001C7C48" w:rsidRPr="00454313">
              <w:rPr>
                <w:rFonts w:ascii="Arial CYR" w:hAnsi="Arial CYR" w:cs="Arial CYR"/>
                <w:color w:val="000000"/>
                <w:sz w:val="20"/>
                <w:szCs w:val="20"/>
              </w:rPr>
              <w:t xml:space="preserve"> </w:t>
            </w:r>
            <w:r w:rsidR="00AA15C3">
              <w:rPr>
                <w:rFonts w:ascii="Arial CYR" w:hAnsi="Arial CYR" w:cs="Arial CYR"/>
                <w:color w:val="000000"/>
                <w:sz w:val="20"/>
                <w:szCs w:val="20"/>
              </w:rPr>
              <w:t>изделий</w:t>
            </w:r>
            <w:r w:rsidRPr="00454313">
              <w:rPr>
                <w:rFonts w:ascii="Arial CYR" w:hAnsi="Arial CYR" w:cs="Arial CYR"/>
                <w:color w:val="000000"/>
                <w:sz w:val="20"/>
                <w:szCs w:val="20"/>
              </w:rPr>
              <w:t xml:space="preserve"> после их размещения на рынке.</w:t>
            </w:r>
          </w:p>
          <w:p w:rsidR="0011603F" w:rsidRPr="00454313" w:rsidRDefault="003B2BA2" w:rsidP="00FF4C89">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PMCF исследования</w:t>
            </w:r>
            <w:r w:rsidR="0011603F" w:rsidRPr="00454313">
              <w:rPr>
                <w:rFonts w:ascii="Arial CYR" w:hAnsi="Arial CYR" w:cs="Arial CYR"/>
                <w:color w:val="000000"/>
                <w:sz w:val="20"/>
                <w:szCs w:val="20"/>
              </w:rPr>
              <w:t xml:space="preserve"> - одна из нескольких возможностей, доступных </w:t>
            </w:r>
            <w:r w:rsidR="00FF4C89" w:rsidRPr="00454313">
              <w:rPr>
                <w:rFonts w:ascii="Arial CYR" w:hAnsi="Arial CYR" w:cs="Arial CYR"/>
                <w:color w:val="000000"/>
                <w:sz w:val="20"/>
                <w:szCs w:val="20"/>
              </w:rPr>
              <w:t xml:space="preserve">при </w:t>
            </w:r>
            <w:r w:rsidR="0011603F" w:rsidRPr="00454313">
              <w:rPr>
                <w:rFonts w:ascii="Arial CYR" w:hAnsi="Arial CYR" w:cs="Arial CYR"/>
                <w:color w:val="000000"/>
                <w:sz w:val="20"/>
                <w:szCs w:val="20"/>
              </w:rPr>
              <w:t>пост-</w:t>
            </w:r>
            <w:r w:rsidR="00C76919" w:rsidRPr="00454313">
              <w:rPr>
                <w:rFonts w:ascii="Arial CYR" w:hAnsi="Arial CYR" w:cs="Arial CYR"/>
                <w:color w:val="000000"/>
                <w:sz w:val="20"/>
                <w:szCs w:val="20"/>
              </w:rPr>
              <w:t>про</w:t>
            </w:r>
            <w:r w:rsidR="00FF4C89" w:rsidRPr="00454313">
              <w:rPr>
                <w:rFonts w:ascii="Arial CYR" w:hAnsi="Arial CYR" w:cs="Arial CYR"/>
                <w:color w:val="000000"/>
                <w:sz w:val="20"/>
                <w:szCs w:val="20"/>
              </w:rPr>
              <w:softHyphen/>
            </w:r>
            <w:r w:rsidR="00C76919" w:rsidRPr="00454313">
              <w:rPr>
                <w:rFonts w:ascii="Arial CYR" w:hAnsi="Arial CYR" w:cs="Arial CYR"/>
                <w:color w:val="000000"/>
                <w:sz w:val="20"/>
                <w:szCs w:val="20"/>
              </w:rPr>
              <w:t>даж</w:t>
            </w:r>
            <w:r w:rsidR="00FF4C89" w:rsidRPr="00454313">
              <w:rPr>
                <w:rFonts w:ascii="Arial CYR" w:hAnsi="Arial CYR" w:cs="Arial CYR"/>
                <w:color w:val="000000"/>
                <w:sz w:val="20"/>
                <w:szCs w:val="20"/>
              </w:rPr>
              <w:softHyphen/>
            </w:r>
            <w:r w:rsidR="00C76919" w:rsidRPr="00454313">
              <w:rPr>
                <w:rFonts w:ascii="Arial CYR" w:hAnsi="Arial CYR" w:cs="Arial CYR"/>
                <w:color w:val="000000"/>
                <w:sz w:val="20"/>
                <w:szCs w:val="20"/>
              </w:rPr>
              <w:t>ном</w:t>
            </w:r>
            <w:r w:rsidR="0011603F" w:rsidRPr="00454313">
              <w:rPr>
                <w:rFonts w:ascii="Arial CYR" w:hAnsi="Arial CYR" w:cs="Arial CYR"/>
                <w:color w:val="000000"/>
                <w:sz w:val="20"/>
                <w:szCs w:val="20"/>
              </w:rPr>
              <w:t xml:space="preserve"> наблюдении (PMS), и способствуют процессу управления рисками.</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2. Scope</w:t>
            </w:r>
          </w:p>
        </w:tc>
        <w:tc>
          <w:tcPr>
            <w:tcW w:w="8027" w:type="dxa"/>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2. Объем</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lastRenderedPageBreak/>
              <w:t>The objective of this document is to provide guidance on the appropriate use and conduct of PMCF studies to address issues linked to residual risks. The intention is not to impose new regulatory requirements.</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PMCF studies are an important element to be considered in PMCF or PMS plans. The principles for PMCF studies set out in this guidance are not intended to replace PMCF or PMS plans. They are or may be applicable to PMCF studies conducted for other purposes.</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This document provides guidance in relation to:</w:t>
            </w:r>
          </w:p>
          <w:p w:rsidR="0011603F" w:rsidRPr="00454313" w:rsidRDefault="0011603F" w:rsidP="0093218D">
            <w:pPr>
              <w:widowControl w:val="0"/>
              <w:autoSpaceDE w:val="0"/>
              <w:autoSpaceDN w:val="0"/>
              <w:adjustRightInd w:val="0"/>
              <w:spacing w:after="0" w:line="240" w:lineRule="auto"/>
              <w:ind w:left="426" w:hanging="426"/>
              <w:rPr>
                <w:rFonts w:ascii="Arial CYR" w:hAnsi="Arial CYR" w:cs="Arial CYR"/>
                <w:color w:val="000000"/>
                <w:sz w:val="20"/>
                <w:szCs w:val="20"/>
                <w:lang w:val="en-GB"/>
              </w:rPr>
            </w:pPr>
            <w:proofErr w:type="spellStart"/>
            <w:r w:rsidRPr="00454313">
              <w:rPr>
                <w:rFonts w:ascii="Times New Roman CYR" w:hAnsi="Times New Roman CYR" w:cs="Times New Roman CYR"/>
                <w:color w:val="000000"/>
                <w:lang w:val="en-GB"/>
              </w:rPr>
              <w:t>i</w:t>
            </w:r>
            <w:proofErr w:type="spellEnd"/>
            <w:r w:rsidRPr="00454313">
              <w:rPr>
                <w:rFonts w:ascii="Times New Roman CYR" w:hAnsi="Times New Roman CYR" w:cs="Times New Roman CYR"/>
                <w:color w:val="000000"/>
                <w:lang w:val="en-GB"/>
              </w:rPr>
              <w:t>)</w:t>
            </w:r>
            <w:r w:rsidRPr="00454313">
              <w:rPr>
                <w:rFonts w:ascii="Times New Roman CYR" w:hAnsi="Times New Roman CYR" w:cs="Times New Roman CYR"/>
                <w:color w:val="000000"/>
                <w:lang w:val="en-GB"/>
              </w:rPr>
              <w:tab/>
            </w:r>
            <w:r w:rsidRPr="00454313">
              <w:rPr>
                <w:rFonts w:ascii="Arial CYR" w:hAnsi="Arial CYR" w:cs="Arial CYR"/>
                <w:color w:val="000000"/>
                <w:sz w:val="20"/>
                <w:szCs w:val="20"/>
                <w:lang w:val="en-GB"/>
              </w:rPr>
              <w:t>the circumstances where a PMCF study is indicated;</w:t>
            </w:r>
          </w:p>
          <w:p w:rsidR="0011603F" w:rsidRPr="00454313" w:rsidRDefault="0011603F" w:rsidP="0093218D">
            <w:pPr>
              <w:widowControl w:val="0"/>
              <w:autoSpaceDE w:val="0"/>
              <w:autoSpaceDN w:val="0"/>
              <w:adjustRightInd w:val="0"/>
              <w:spacing w:after="0" w:line="240" w:lineRule="auto"/>
              <w:ind w:left="426" w:hanging="426"/>
              <w:rPr>
                <w:rFonts w:ascii="Arial CYR" w:hAnsi="Arial CYR" w:cs="Arial CYR"/>
                <w:color w:val="000000"/>
                <w:sz w:val="20"/>
                <w:szCs w:val="20"/>
                <w:lang w:val="en-GB"/>
              </w:rPr>
            </w:pPr>
            <w:r w:rsidRPr="00454313">
              <w:rPr>
                <w:rFonts w:ascii="Times New Roman CYR" w:hAnsi="Times New Roman CYR" w:cs="Times New Roman CYR"/>
                <w:color w:val="000000"/>
                <w:lang w:val="en-GB"/>
              </w:rPr>
              <w:t>ii)</w:t>
            </w:r>
            <w:r w:rsidRPr="00454313">
              <w:rPr>
                <w:rFonts w:ascii="Times New Roman CYR" w:hAnsi="Times New Roman CYR" w:cs="Times New Roman CYR"/>
                <w:color w:val="000000"/>
                <w:lang w:val="en-GB"/>
              </w:rPr>
              <w:tab/>
            </w:r>
            <w:r w:rsidRPr="00454313">
              <w:rPr>
                <w:rFonts w:ascii="Arial CYR" w:hAnsi="Arial CYR" w:cs="Arial CYR"/>
                <w:color w:val="000000"/>
                <w:sz w:val="20"/>
                <w:szCs w:val="20"/>
                <w:lang w:val="en-GB"/>
              </w:rPr>
              <w:t>the general principles of PMCF studies involving medical devices;</w:t>
            </w:r>
          </w:p>
          <w:p w:rsidR="0011603F" w:rsidRPr="00454313" w:rsidRDefault="0011603F" w:rsidP="0093218D">
            <w:pPr>
              <w:widowControl w:val="0"/>
              <w:autoSpaceDE w:val="0"/>
              <w:autoSpaceDN w:val="0"/>
              <w:adjustRightInd w:val="0"/>
              <w:spacing w:after="0" w:line="240" w:lineRule="auto"/>
              <w:ind w:left="426" w:hanging="426"/>
              <w:rPr>
                <w:rFonts w:ascii="Arial CYR" w:hAnsi="Arial CYR" w:cs="Arial CYR"/>
                <w:color w:val="000000"/>
                <w:sz w:val="20"/>
                <w:szCs w:val="20"/>
                <w:lang w:val="en-GB"/>
              </w:rPr>
            </w:pPr>
            <w:r w:rsidRPr="00454313">
              <w:rPr>
                <w:rFonts w:ascii="Times New Roman CYR" w:hAnsi="Times New Roman CYR" w:cs="Times New Roman CYR"/>
                <w:color w:val="000000"/>
                <w:lang w:val="en-GB"/>
              </w:rPr>
              <w:t>iii)</w:t>
            </w:r>
            <w:r w:rsidRPr="00454313">
              <w:rPr>
                <w:rFonts w:ascii="Times New Roman CYR" w:hAnsi="Times New Roman CYR" w:cs="Times New Roman CYR"/>
                <w:color w:val="000000"/>
                <w:lang w:val="en-GB"/>
              </w:rPr>
              <w:tab/>
            </w:r>
            <w:r w:rsidRPr="00454313">
              <w:rPr>
                <w:rFonts w:ascii="Arial CYR" w:hAnsi="Arial CYR" w:cs="Arial CYR"/>
                <w:color w:val="000000"/>
                <w:sz w:val="20"/>
                <w:szCs w:val="20"/>
                <w:lang w:val="en-GB"/>
              </w:rPr>
              <w:t>the use of study data (for example to update instructions for use and labelling);</w:t>
            </w:r>
          </w:p>
          <w:p w:rsidR="0011603F" w:rsidRPr="00454313" w:rsidRDefault="0011603F" w:rsidP="0093218D">
            <w:pPr>
              <w:widowControl w:val="0"/>
              <w:autoSpaceDE w:val="0"/>
              <w:autoSpaceDN w:val="0"/>
              <w:adjustRightInd w:val="0"/>
              <w:spacing w:after="0" w:line="240" w:lineRule="auto"/>
              <w:ind w:left="426" w:hanging="426"/>
              <w:rPr>
                <w:rFonts w:ascii="Arial CYR" w:hAnsi="Arial CYR" w:cs="Arial CYR"/>
                <w:color w:val="000000"/>
                <w:sz w:val="20"/>
                <w:szCs w:val="20"/>
                <w:lang w:val="en-GB"/>
              </w:rPr>
            </w:pPr>
            <w:r w:rsidRPr="00454313">
              <w:rPr>
                <w:rFonts w:ascii="Arial CYR" w:hAnsi="Arial CYR" w:cs="Arial CYR"/>
                <w:color w:val="000000"/>
                <w:sz w:val="20"/>
                <w:szCs w:val="20"/>
                <w:lang w:val="en-GB"/>
              </w:rPr>
              <w:t>and</w:t>
            </w:r>
          </w:p>
          <w:p w:rsidR="0011603F" w:rsidRPr="00454313" w:rsidRDefault="0011603F" w:rsidP="0093218D">
            <w:pPr>
              <w:widowControl w:val="0"/>
              <w:autoSpaceDE w:val="0"/>
              <w:autoSpaceDN w:val="0"/>
              <w:adjustRightInd w:val="0"/>
              <w:spacing w:after="0" w:line="240" w:lineRule="auto"/>
              <w:ind w:left="426" w:hanging="426"/>
              <w:rPr>
                <w:rFonts w:ascii="Arial CYR" w:hAnsi="Arial CYR" w:cs="Arial CYR"/>
                <w:color w:val="000000"/>
                <w:sz w:val="20"/>
                <w:szCs w:val="20"/>
                <w:lang w:val="en-GB"/>
              </w:rPr>
            </w:pPr>
            <w:r w:rsidRPr="00454313">
              <w:rPr>
                <w:rFonts w:ascii="Times New Roman CYR" w:hAnsi="Times New Roman CYR" w:cs="Times New Roman CYR"/>
                <w:color w:val="000000"/>
                <w:lang w:val="en-GB"/>
              </w:rPr>
              <w:t>iv)</w:t>
            </w:r>
            <w:r w:rsidRPr="00454313">
              <w:rPr>
                <w:rFonts w:ascii="Times New Roman CYR" w:hAnsi="Times New Roman CYR" w:cs="Times New Roman CYR"/>
                <w:color w:val="000000"/>
                <w:lang w:val="en-GB"/>
              </w:rPr>
              <w:tab/>
            </w:r>
            <w:r w:rsidRPr="00454313">
              <w:rPr>
                <w:rFonts w:ascii="Arial CYR" w:hAnsi="Arial CYR" w:cs="Arial CYR"/>
                <w:color w:val="000000"/>
                <w:sz w:val="20"/>
                <w:szCs w:val="20"/>
                <w:lang w:val="en-GB"/>
              </w:rPr>
              <w:t>the role of a notified body for medical devices in the assessment of PMCF plans and of the results obtained from the plans as part of conformity assessment.</w:t>
            </w:r>
          </w:p>
          <w:p w:rsidR="00435FB6" w:rsidRPr="00454313" w:rsidRDefault="0011603F" w:rsidP="00215A09">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This document does not apply to in vitro diagnostic devices.</w:t>
            </w:r>
          </w:p>
        </w:tc>
        <w:tc>
          <w:tcPr>
            <w:tcW w:w="8027"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Цель этого документа состоит в том, чтобы дать представление об адекватном использовании и проведении </w:t>
            </w:r>
            <w:r w:rsidR="003B2BA2" w:rsidRPr="00454313">
              <w:rPr>
                <w:rFonts w:ascii="Arial CYR" w:hAnsi="Arial CYR" w:cs="Arial CYR"/>
                <w:color w:val="000000"/>
                <w:sz w:val="20"/>
                <w:szCs w:val="20"/>
              </w:rPr>
              <w:t>PMCF исследований</w:t>
            </w:r>
            <w:r w:rsidRPr="00454313">
              <w:rPr>
                <w:rFonts w:ascii="Arial CYR" w:hAnsi="Arial CYR" w:cs="Arial CYR"/>
                <w:color w:val="000000"/>
                <w:sz w:val="20"/>
                <w:szCs w:val="20"/>
              </w:rPr>
              <w:t xml:space="preserve">, чтобы решить проблемы, связанные с остаточными рисками. </w:t>
            </w:r>
            <w:r w:rsidR="001C7C48" w:rsidRPr="00454313">
              <w:rPr>
                <w:rFonts w:ascii="Arial CYR" w:hAnsi="Arial CYR" w:cs="Arial CYR"/>
                <w:color w:val="000000"/>
                <w:sz w:val="20"/>
                <w:szCs w:val="20"/>
              </w:rPr>
              <w:t>Задача</w:t>
            </w:r>
            <w:r w:rsidRPr="00454313">
              <w:rPr>
                <w:rFonts w:ascii="Arial CYR" w:hAnsi="Arial CYR" w:cs="Arial CYR"/>
                <w:color w:val="000000"/>
                <w:sz w:val="20"/>
                <w:szCs w:val="20"/>
              </w:rPr>
              <w:t xml:space="preserve"> не стоит в том, чтобы </w:t>
            </w:r>
            <w:r w:rsidR="001C7C48" w:rsidRPr="00454313">
              <w:rPr>
                <w:rFonts w:ascii="Arial CYR" w:hAnsi="Arial CYR" w:cs="Arial CYR"/>
                <w:color w:val="000000"/>
                <w:sz w:val="20"/>
                <w:szCs w:val="20"/>
              </w:rPr>
              <w:t>предъяви</w:t>
            </w:r>
            <w:r w:rsidRPr="00454313">
              <w:rPr>
                <w:rFonts w:ascii="Arial CYR" w:hAnsi="Arial CYR" w:cs="Arial CYR"/>
                <w:color w:val="000000"/>
                <w:sz w:val="20"/>
                <w:szCs w:val="20"/>
              </w:rPr>
              <w:t>ть новые нормативные требования.</w:t>
            </w:r>
          </w:p>
          <w:p w:rsidR="0011603F" w:rsidRPr="00454313" w:rsidRDefault="003B2BA2">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PMCF исследования</w:t>
            </w:r>
            <w:r w:rsidR="0011603F" w:rsidRPr="00454313">
              <w:rPr>
                <w:rFonts w:ascii="Arial CYR" w:hAnsi="Arial CYR" w:cs="Arial CYR"/>
                <w:color w:val="000000"/>
                <w:sz w:val="20"/>
                <w:szCs w:val="20"/>
              </w:rPr>
              <w:t xml:space="preserve"> - важный элемент, который рассм</w:t>
            </w:r>
            <w:r w:rsidR="001C7C48" w:rsidRPr="00454313">
              <w:rPr>
                <w:rFonts w:ascii="Arial CYR" w:hAnsi="Arial CYR" w:cs="Arial CYR"/>
                <w:color w:val="000000"/>
                <w:sz w:val="20"/>
                <w:szCs w:val="20"/>
              </w:rPr>
              <w:t>атривается</w:t>
            </w:r>
            <w:r w:rsidR="0011603F" w:rsidRPr="00454313">
              <w:rPr>
                <w:rFonts w:ascii="Arial CYR" w:hAnsi="Arial CYR" w:cs="Arial CYR"/>
                <w:color w:val="000000"/>
                <w:sz w:val="20"/>
                <w:szCs w:val="20"/>
              </w:rPr>
              <w:t xml:space="preserve"> в планах PMS или PMCF. </w:t>
            </w:r>
            <w:r w:rsidR="00435FB6" w:rsidRPr="00454313">
              <w:rPr>
                <w:rFonts w:ascii="Arial CYR" w:hAnsi="Arial CYR" w:cs="Arial CYR"/>
                <w:color w:val="000000"/>
                <w:sz w:val="20"/>
                <w:szCs w:val="20"/>
              </w:rPr>
              <w:t xml:space="preserve">Принципы PMCF исследований, изложенные в настоящем руководстве не предназначены для замены PMCF или PMS планов. </w:t>
            </w:r>
            <w:r w:rsidR="0011603F" w:rsidRPr="00454313">
              <w:rPr>
                <w:rFonts w:ascii="Arial CYR" w:hAnsi="Arial CYR" w:cs="Arial CYR"/>
                <w:color w:val="000000"/>
                <w:sz w:val="20"/>
                <w:szCs w:val="20"/>
              </w:rPr>
              <w:t xml:space="preserve">Они </w:t>
            </w:r>
            <w:r w:rsidR="00435FB6" w:rsidRPr="00454313">
              <w:rPr>
                <w:rFonts w:ascii="Arial CYR" w:hAnsi="Arial CYR" w:cs="Arial CYR"/>
                <w:color w:val="000000"/>
                <w:sz w:val="20"/>
                <w:szCs w:val="20"/>
              </w:rPr>
              <w:t xml:space="preserve">являются </w:t>
            </w:r>
            <w:r w:rsidR="0011603F" w:rsidRPr="00454313">
              <w:rPr>
                <w:rFonts w:ascii="Arial CYR" w:hAnsi="Arial CYR" w:cs="Arial CYR"/>
                <w:color w:val="000000"/>
                <w:sz w:val="20"/>
                <w:szCs w:val="20"/>
              </w:rPr>
              <w:t xml:space="preserve">или могут быть применимы к </w:t>
            </w:r>
            <w:r w:rsidR="00435FB6" w:rsidRPr="00454313">
              <w:rPr>
                <w:rFonts w:ascii="Arial CYR" w:hAnsi="Arial CYR" w:cs="Arial CYR"/>
                <w:color w:val="000000"/>
                <w:sz w:val="20"/>
                <w:szCs w:val="20"/>
              </w:rPr>
              <w:t xml:space="preserve">PMCF </w:t>
            </w:r>
            <w:r w:rsidR="0011603F" w:rsidRPr="00454313">
              <w:rPr>
                <w:rFonts w:ascii="Arial CYR" w:hAnsi="Arial CYR" w:cs="Arial CYR"/>
                <w:color w:val="000000"/>
                <w:sz w:val="20"/>
                <w:szCs w:val="20"/>
              </w:rPr>
              <w:t>исследованиям, проведённым для других целей.</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Этот документ даёт представление относительно:</w:t>
            </w:r>
          </w:p>
          <w:p w:rsidR="0011603F" w:rsidRPr="00454313" w:rsidRDefault="0011603F" w:rsidP="0093218D">
            <w:pPr>
              <w:widowControl w:val="0"/>
              <w:autoSpaceDE w:val="0"/>
              <w:autoSpaceDN w:val="0"/>
              <w:adjustRightInd w:val="0"/>
              <w:spacing w:after="0" w:line="240" w:lineRule="auto"/>
              <w:ind w:left="459" w:hanging="426"/>
              <w:rPr>
                <w:rFonts w:ascii="Arial CYR" w:hAnsi="Arial CYR" w:cs="Arial CYR"/>
                <w:color w:val="000000"/>
                <w:sz w:val="20"/>
                <w:szCs w:val="20"/>
              </w:rPr>
            </w:pPr>
            <w:r w:rsidRPr="00454313">
              <w:rPr>
                <w:rFonts w:ascii="Times New Roman CYR" w:hAnsi="Times New Roman CYR" w:cs="Times New Roman CYR"/>
                <w:color w:val="000000"/>
              </w:rPr>
              <w:t>i)</w:t>
            </w:r>
            <w:r w:rsidRPr="00454313">
              <w:rPr>
                <w:rFonts w:ascii="Times New Roman CYR" w:hAnsi="Times New Roman CYR" w:cs="Times New Roman CYR"/>
                <w:color w:val="000000"/>
              </w:rPr>
              <w:tab/>
            </w:r>
            <w:r w:rsidRPr="00454313">
              <w:rPr>
                <w:rFonts w:ascii="Arial CYR" w:hAnsi="Arial CYR" w:cs="Arial CYR"/>
                <w:color w:val="000000"/>
                <w:sz w:val="20"/>
                <w:szCs w:val="20"/>
              </w:rPr>
              <w:t xml:space="preserve">обстоятельств, где </w:t>
            </w:r>
            <w:r w:rsidR="00435FB6" w:rsidRPr="00454313">
              <w:rPr>
                <w:rFonts w:ascii="Arial CYR" w:hAnsi="Arial CYR" w:cs="Arial CYR"/>
                <w:color w:val="000000"/>
                <w:sz w:val="20"/>
                <w:szCs w:val="20"/>
              </w:rPr>
              <w:t xml:space="preserve">PMCF </w:t>
            </w:r>
            <w:r w:rsidRPr="00454313">
              <w:rPr>
                <w:rFonts w:ascii="Arial CYR" w:hAnsi="Arial CYR" w:cs="Arial CYR"/>
                <w:color w:val="000000"/>
                <w:sz w:val="20"/>
                <w:szCs w:val="20"/>
              </w:rPr>
              <w:t>исследование предпис</w:t>
            </w:r>
            <w:r w:rsidR="00435FB6" w:rsidRPr="00454313">
              <w:rPr>
                <w:rFonts w:ascii="Arial CYR" w:hAnsi="Arial CYR" w:cs="Arial CYR"/>
                <w:color w:val="000000"/>
                <w:sz w:val="20"/>
                <w:szCs w:val="20"/>
              </w:rPr>
              <w:t>ано</w:t>
            </w:r>
            <w:r w:rsidRPr="00454313">
              <w:rPr>
                <w:rFonts w:ascii="Arial CYR" w:hAnsi="Arial CYR" w:cs="Arial CYR"/>
                <w:color w:val="000000"/>
                <w:sz w:val="20"/>
                <w:szCs w:val="20"/>
              </w:rPr>
              <w:t>;</w:t>
            </w:r>
          </w:p>
          <w:p w:rsidR="0011603F" w:rsidRPr="00454313" w:rsidRDefault="0011603F" w:rsidP="0093218D">
            <w:pPr>
              <w:widowControl w:val="0"/>
              <w:autoSpaceDE w:val="0"/>
              <w:autoSpaceDN w:val="0"/>
              <w:adjustRightInd w:val="0"/>
              <w:spacing w:after="0" w:line="240" w:lineRule="auto"/>
              <w:ind w:left="459" w:hanging="426"/>
              <w:rPr>
                <w:rFonts w:ascii="Arial CYR" w:hAnsi="Arial CYR" w:cs="Arial CYR"/>
                <w:sz w:val="20"/>
                <w:szCs w:val="20"/>
              </w:rPr>
            </w:pPr>
            <w:proofErr w:type="spellStart"/>
            <w:r w:rsidRPr="00454313">
              <w:rPr>
                <w:rFonts w:ascii="Times New Roman CYR" w:hAnsi="Times New Roman CYR" w:cs="Times New Roman CYR"/>
                <w:color w:val="000000"/>
              </w:rPr>
              <w:t>ii</w:t>
            </w:r>
            <w:proofErr w:type="spellEnd"/>
            <w:r w:rsidRPr="00454313">
              <w:rPr>
                <w:rFonts w:ascii="Times New Roman CYR" w:hAnsi="Times New Roman CYR" w:cs="Times New Roman CYR"/>
                <w:color w:val="000000"/>
              </w:rPr>
              <w:t>)</w:t>
            </w:r>
            <w:r w:rsidRPr="00454313">
              <w:rPr>
                <w:rFonts w:ascii="Times New Roman CYR" w:hAnsi="Times New Roman CYR" w:cs="Times New Roman CYR"/>
                <w:color w:val="000000"/>
              </w:rPr>
              <w:tab/>
            </w:r>
            <w:r w:rsidRPr="00454313">
              <w:rPr>
                <w:rFonts w:ascii="Arial CYR" w:hAnsi="Arial CYR" w:cs="Arial CYR"/>
                <w:color w:val="000000"/>
                <w:sz w:val="20"/>
                <w:szCs w:val="20"/>
              </w:rPr>
              <w:t>общие п</w:t>
            </w:r>
            <w:r w:rsidRPr="00454313">
              <w:rPr>
                <w:rFonts w:ascii="Arial CYR" w:hAnsi="Arial CYR" w:cs="Arial CYR"/>
                <w:sz w:val="20"/>
                <w:szCs w:val="20"/>
              </w:rPr>
              <w:t xml:space="preserve">ринципы </w:t>
            </w:r>
            <w:r w:rsidR="00435FB6" w:rsidRPr="00454313">
              <w:rPr>
                <w:rFonts w:ascii="Arial CYR" w:hAnsi="Arial CYR" w:cs="Arial CYR"/>
                <w:sz w:val="20"/>
                <w:szCs w:val="20"/>
              </w:rPr>
              <w:t xml:space="preserve">PMCF </w:t>
            </w:r>
            <w:r w:rsidRPr="00454313">
              <w:rPr>
                <w:rFonts w:ascii="Arial CYR" w:hAnsi="Arial CYR" w:cs="Arial CYR"/>
                <w:sz w:val="20"/>
                <w:szCs w:val="20"/>
              </w:rPr>
              <w:t xml:space="preserve">исследований, </w:t>
            </w:r>
            <w:r w:rsidR="00435FB6" w:rsidRPr="00454313">
              <w:rPr>
                <w:rFonts w:ascii="Arial CYR" w:hAnsi="Arial CYR" w:cs="Arial CYR"/>
                <w:sz w:val="20"/>
                <w:szCs w:val="20"/>
              </w:rPr>
              <w:t>кас</w:t>
            </w:r>
            <w:r w:rsidRPr="00454313">
              <w:rPr>
                <w:rFonts w:ascii="Arial CYR" w:hAnsi="Arial CYR" w:cs="Arial CYR"/>
                <w:sz w:val="20"/>
                <w:szCs w:val="20"/>
              </w:rPr>
              <w:t>ающи</w:t>
            </w:r>
            <w:r w:rsidR="00435FB6" w:rsidRPr="00454313">
              <w:rPr>
                <w:rFonts w:ascii="Arial CYR" w:hAnsi="Arial CYR" w:cs="Arial CYR"/>
                <w:sz w:val="20"/>
                <w:szCs w:val="20"/>
              </w:rPr>
              <w:t>еся</w:t>
            </w:r>
            <w:r w:rsidRPr="00454313">
              <w:rPr>
                <w:rFonts w:ascii="Arial CYR" w:hAnsi="Arial CYR" w:cs="Arial CYR"/>
                <w:sz w:val="20"/>
                <w:szCs w:val="20"/>
              </w:rPr>
              <w:t xml:space="preserve"> </w:t>
            </w:r>
            <w:r w:rsidR="00D4583A">
              <w:rPr>
                <w:rFonts w:ascii="Arial CYR" w:hAnsi="Arial CYR" w:cs="Arial CYR"/>
                <w:sz w:val="20"/>
                <w:szCs w:val="20"/>
              </w:rPr>
              <w:t>медицинских изделий</w:t>
            </w:r>
            <w:r w:rsidRPr="00454313">
              <w:rPr>
                <w:rFonts w:ascii="Arial CYR" w:hAnsi="Arial CYR" w:cs="Arial CYR"/>
                <w:sz w:val="20"/>
                <w:szCs w:val="20"/>
              </w:rPr>
              <w:t>;</w:t>
            </w:r>
          </w:p>
          <w:p w:rsidR="0011603F" w:rsidRPr="00454313" w:rsidRDefault="0011603F" w:rsidP="0093218D">
            <w:pPr>
              <w:widowControl w:val="0"/>
              <w:autoSpaceDE w:val="0"/>
              <w:autoSpaceDN w:val="0"/>
              <w:adjustRightInd w:val="0"/>
              <w:spacing w:after="0" w:line="240" w:lineRule="auto"/>
              <w:ind w:left="459" w:hanging="426"/>
              <w:rPr>
                <w:rFonts w:ascii="Arial CYR" w:hAnsi="Arial CYR" w:cs="Arial CYR"/>
                <w:sz w:val="20"/>
                <w:szCs w:val="20"/>
              </w:rPr>
            </w:pPr>
            <w:proofErr w:type="spellStart"/>
            <w:r w:rsidRPr="00454313">
              <w:rPr>
                <w:rFonts w:ascii="Times New Roman CYR" w:hAnsi="Times New Roman CYR" w:cs="Times New Roman CYR"/>
              </w:rPr>
              <w:t>iii</w:t>
            </w:r>
            <w:proofErr w:type="spellEnd"/>
            <w:r w:rsidRPr="00454313">
              <w:rPr>
                <w:rFonts w:ascii="Times New Roman CYR" w:hAnsi="Times New Roman CYR" w:cs="Times New Roman CYR"/>
              </w:rPr>
              <w:t>)</w:t>
            </w:r>
            <w:r w:rsidRPr="00454313">
              <w:rPr>
                <w:rFonts w:ascii="Times New Roman CYR" w:hAnsi="Times New Roman CYR" w:cs="Times New Roman CYR"/>
              </w:rPr>
              <w:tab/>
            </w:r>
            <w:r w:rsidRPr="00454313">
              <w:rPr>
                <w:rFonts w:ascii="Arial CYR" w:hAnsi="Arial CYR" w:cs="Arial CYR"/>
                <w:sz w:val="20"/>
                <w:szCs w:val="20"/>
              </w:rPr>
              <w:t xml:space="preserve">использование данных исследования (например, чтобы обновить инструкции </w:t>
            </w:r>
            <w:r w:rsidR="00435FB6" w:rsidRPr="00454313">
              <w:rPr>
                <w:rFonts w:ascii="Arial CYR" w:hAnsi="Arial CYR" w:cs="Arial CYR"/>
                <w:sz w:val="20"/>
                <w:szCs w:val="20"/>
              </w:rPr>
              <w:t>по</w:t>
            </w:r>
            <w:r w:rsidRPr="00454313">
              <w:rPr>
                <w:rFonts w:ascii="Arial CYR" w:hAnsi="Arial CYR" w:cs="Arial CYR"/>
                <w:sz w:val="20"/>
                <w:szCs w:val="20"/>
              </w:rPr>
              <w:t xml:space="preserve"> использовани</w:t>
            </w:r>
            <w:r w:rsidR="00435FB6" w:rsidRPr="00454313">
              <w:rPr>
                <w:rFonts w:ascii="Arial CYR" w:hAnsi="Arial CYR" w:cs="Arial CYR"/>
                <w:sz w:val="20"/>
                <w:szCs w:val="20"/>
              </w:rPr>
              <w:t>ю</w:t>
            </w:r>
            <w:r w:rsidRPr="00454313">
              <w:rPr>
                <w:rFonts w:ascii="Arial CYR" w:hAnsi="Arial CYR" w:cs="Arial CYR"/>
                <w:sz w:val="20"/>
                <w:szCs w:val="20"/>
              </w:rPr>
              <w:t xml:space="preserve"> и маркир</w:t>
            </w:r>
            <w:r w:rsidR="00435FB6" w:rsidRPr="00454313">
              <w:rPr>
                <w:rFonts w:ascii="Arial CYR" w:hAnsi="Arial CYR" w:cs="Arial CYR"/>
                <w:sz w:val="20"/>
                <w:szCs w:val="20"/>
              </w:rPr>
              <w:t>овку</w:t>
            </w:r>
            <w:r w:rsidRPr="00454313">
              <w:rPr>
                <w:rFonts w:ascii="Arial CYR" w:hAnsi="Arial CYR" w:cs="Arial CYR"/>
                <w:sz w:val="20"/>
                <w:szCs w:val="20"/>
              </w:rPr>
              <w:t>);</w:t>
            </w:r>
            <w:r w:rsidR="00215A09" w:rsidRPr="00454313">
              <w:rPr>
                <w:rFonts w:ascii="Arial CYR" w:hAnsi="Arial CYR" w:cs="Arial CYR"/>
                <w:sz w:val="20"/>
                <w:szCs w:val="20"/>
              </w:rPr>
              <w:t xml:space="preserve"> </w:t>
            </w:r>
            <w:r w:rsidRPr="00454313">
              <w:rPr>
                <w:rFonts w:ascii="Arial CYR" w:hAnsi="Arial CYR" w:cs="Arial CYR"/>
                <w:sz w:val="20"/>
                <w:szCs w:val="20"/>
              </w:rPr>
              <w:t>и</w:t>
            </w:r>
          </w:p>
          <w:p w:rsidR="0011603F" w:rsidRPr="00454313" w:rsidRDefault="0011603F" w:rsidP="0093218D">
            <w:pPr>
              <w:widowControl w:val="0"/>
              <w:autoSpaceDE w:val="0"/>
              <w:autoSpaceDN w:val="0"/>
              <w:adjustRightInd w:val="0"/>
              <w:spacing w:after="0" w:line="240" w:lineRule="auto"/>
              <w:ind w:left="459" w:hanging="426"/>
              <w:rPr>
                <w:rFonts w:ascii="Arial CYR" w:hAnsi="Arial CYR" w:cs="Arial CYR"/>
                <w:sz w:val="20"/>
                <w:szCs w:val="20"/>
              </w:rPr>
            </w:pPr>
            <w:proofErr w:type="spellStart"/>
            <w:r w:rsidRPr="00454313">
              <w:rPr>
                <w:rFonts w:ascii="Times New Roman CYR" w:hAnsi="Times New Roman CYR" w:cs="Times New Roman CYR"/>
              </w:rPr>
              <w:t>iv</w:t>
            </w:r>
            <w:proofErr w:type="spellEnd"/>
            <w:r w:rsidRPr="00454313">
              <w:rPr>
                <w:rFonts w:ascii="Times New Roman CYR" w:hAnsi="Times New Roman CYR" w:cs="Times New Roman CYR"/>
              </w:rPr>
              <w:t>)</w:t>
            </w:r>
            <w:r w:rsidRPr="00454313">
              <w:rPr>
                <w:rFonts w:ascii="Times New Roman CYR" w:hAnsi="Times New Roman CYR" w:cs="Times New Roman CYR"/>
              </w:rPr>
              <w:tab/>
            </w:r>
            <w:r w:rsidRPr="00454313">
              <w:rPr>
                <w:rFonts w:ascii="Arial CYR" w:hAnsi="Arial CYR" w:cs="Arial CYR"/>
                <w:sz w:val="20"/>
                <w:szCs w:val="20"/>
              </w:rPr>
              <w:t xml:space="preserve">роль нотифицированного Органа для </w:t>
            </w:r>
            <w:r w:rsidR="00D4583A">
              <w:rPr>
                <w:rFonts w:ascii="Arial CYR" w:hAnsi="Arial CYR" w:cs="Arial CYR"/>
                <w:sz w:val="20"/>
                <w:szCs w:val="20"/>
              </w:rPr>
              <w:t>медицинских изделий</w:t>
            </w:r>
            <w:r w:rsidRPr="00454313">
              <w:rPr>
                <w:rFonts w:ascii="Arial CYR" w:hAnsi="Arial CYR" w:cs="Arial CYR"/>
                <w:sz w:val="20"/>
                <w:szCs w:val="20"/>
              </w:rPr>
              <w:t xml:space="preserve"> </w:t>
            </w:r>
            <w:r w:rsidR="00983AAC" w:rsidRPr="00454313">
              <w:rPr>
                <w:rFonts w:ascii="Arial CYR" w:hAnsi="Arial CYR" w:cs="Arial CYR"/>
                <w:sz w:val="20"/>
                <w:szCs w:val="20"/>
              </w:rPr>
              <w:t xml:space="preserve">в оценке PMCF планов и </w:t>
            </w:r>
            <w:proofErr w:type="gramStart"/>
            <w:r w:rsidR="00983AAC" w:rsidRPr="00454313">
              <w:rPr>
                <w:rFonts w:ascii="Arial CYR" w:hAnsi="Arial CYR" w:cs="Arial CYR"/>
                <w:sz w:val="20"/>
                <w:szCs w:val="20"/>
              </w:rPr>
              <w:t>результатов</w:t>
            </w:r>
            <w:proofErr w:type="gramEnd"/>
            <w:r w:rsidR="00983AAC" w:rsidRPr="00454313">
              <w:rPr>
                <w:rFonts w:ascii="Arial CYR" w:hAnsi="Arial CYR" w:cs="Arial CYR"/>
                <w:sz w:val="20"/>
                <w:szCs w:val="20"/>
              </w:rPr>
              <w:t xml:space="preserve"> </w:t>
            </w:r>
            <w:r w:rsidRPr="00454313">
              <w:rPr>
                <w:rFonts w:ascii="Arial CYR" w:hAnsi="Arial CYR" w:cs="Arial CYR"/>
                <w:sz w:val="20"/>
                <w:szCs w:val="20"/>
              </w:rPr>
              <w:t xml:space="preserve">и результатов, полученных из планов </w:t>
            </w:r>
            <w:r w:rsidR="00983AAC" w:rsidRPr="00454313">
              <w:rPr>
                <w:rFonts w:ascii="Arial CYR" w:hAnsi="Arial CYR" w:cs="Arial CYR"/>
                <w:sz w:val="20"/>
                <w:szCs w:val="20"/>
              </w:rPr>
              <w:t xml:space="preserve">в рамках оценки </w:t>
            </w:r>
            <w:r w:rsidRPr="00454313">
              <w:rPr>
                <w:rFonts w:ascii="Arial CYR" w:hAnsi="Arial CYR" w:cs="Arial CYR"/>
                <w:sz w:val="20"/>
                <w:szCs w:val="20"/>
              </w:rPr>
              <w:t>соответствия.</w:t>
            </w:r>
          </w:p>
          <w:p w:rsidR="0011603F" w:rsidRPr="00454313" w:rsidRDefault="0011603F" w:rsidP="00215A09">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sz w:val="20"/>
                <w:szCs w:val="20"/>
              </w:rPr>
              <w:t xml:space="preserve">Этот документ </w:t>
            </w:r>
            <w:r w:rsidR="00983AAC" w:rsidRPr="00454313">
              <w:rPr>
                <w:rFonts w:ascii="Arial CYR" w:hAnsi="Arial CYR" w:cs="Arial CYR"/>
                <w:sz w:val="20"/>
                <w:szCs w:val="20"/>
              </w:rPr>
              <w:t xml:space="preserve">не применяется для </w:t>
            </w:r>
            <w:r w:rsidR="00215A09" w:rsidRPr="00454313">
              <w:rPr>
                <w:rFonts w:ascii="Arial CYR" w:hAnsi="Arial CYR" w:cs="Arial CYR"/>
                <w:sz w:val="20"/>
                <w:szCs w:val="20"/>
              </w:rPr>
              <w:t xml:space="preserve">диагностических </w:t>
            </w:r>
            <w:r w:rsidR="00AA15C3">
              <w:rPr>
                <w:rFonts w:ascii="Arial CYR" w:hAnsi="Arial CYR" w:cs="Arial CYR"/>
                <w:sz w:val="20"/>
                <w:szCs w:val="20"/>
              </w:rPr>
              <w:t>изделий</w:t>
            </w:r>
            <w:r w:rsidR="00215A09" w:rsidRPr="00454313">
              <w:rPr>
                <w:rFonts w:ascii="Arial CYR" w:hAnsi="Arial CYR" w:cs="Arial CYR"/>
                <w:sz w:val="20"/>
                <w:szCs w:val="20"/>
              </w:rPr>
              <w:t xml:space="preserve"> </w:t>
            </w:r>
            <w:proofErr w:type="spellStart"/>
            <w:r w:rsidR="00215A09" w:rsidRPr="00454313">
              <w:rPr>
                <w:rFonts w:ascii="Arial CYR" w:hAnsi="Arial CYR" w:cs="Arial CYR"/>
                <w:sz w:val="20"/>
                <w:szCs w:val="20"/>
              </w:rPr>
              <w:t>In</w:t>
            </w:r>
            <w:proofErr w:type="spellEnd"/>
            <w:r w:rsidR="00215A09" w:rsidRPr="00454313">
              <w:rPr>
                <w:rFonts w:ascii="Arial CYR" w:hAnsi="Arial CYR" w:cs="Arial CYR"/>
                <w:sz w:val="20"/>
                <w:szCs w:val="20"/>
              </w:rPr>
              <w:t xml:space="preserve"> </w:t>
            </w:r>
            <w:proofErr w:type="spellStart"/>
            <w:r w:rsidR="00215A09" w:rsidRPr="00454313">
              <w:rPr>
                <w:rFonts w:ascii="Arial CYR" w:hAnsi="Arial CYR" w:cs="Arial CYR"/>
                <w:sz w:val="20"/>
                <w:szCs w:val="20"/>
              </w:rPr>
              <w:t>Vitro</w:t>
            </w:r>
            <w:proofErr w:type="spellEnd"/>
            <w:r w:rsidRPr="00454313">
              <w:rPr>
                <w:rFonts w:ascii="Arial CYR" w:hAnsi="Arial CYR" w:cs="Arial CYR"/>
                <w:sz w:val="20"/>
                <w:szCs w:val="20"/>
              </w:rPr>
              <w:t>.</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3. References</w:t>
            </w:r>
          </w:p>
        </w:tc>
        <w:tc>
          <w:tcPr>
            <w:tcW w:w="8027" w:type="dxa"/>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3. Библиография</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b/>
                <w:bCs/>
                <w:color w:val="000000"/>
                <w:sz w:val="20"/>
                <w:szCs w:val="20"/>
                <w:lang w:val="en-GB"/>
              </w:rPr>
              <w:t>Council Directive 93/42/EEC of 14 June 1993 concerning medical devices</w:t>
            </w:r>
            <w:r w:rsidRPr="00454313">
              <w:rPr>
                <w:rFonts w:ascii="Arial CYR" w:hAnsi="Arial CYR" w:cs="Arial CYR"/>
                <w:color w:val="000000"/>
                <w:sz w:val="20"/>
                <w:szCs w:val="20"/>
                <w:lang w:val="en-GB"/>
              </w:rPr>
              <w:t xml:space="preserve"> as last amended by Directive 2007/47/EC of the European Parliament and of the Council of 5 September 2007.</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b/>
                <w:bCs/>
                <w:color w:val="000000"/>
                <w:sz w:val="20"/>
                <w:szCs w:val="20"/>
                <w:lang w:val="en-GB"/>
              </w:rPr>
              <w:t>Council Directive 90/385/EEC</w:t>
            </w:r>
            <w:r w:rsidRPr="00454313">
              <w:rPr>
                <w:rFonts w:ascii="Arial CYR" w:hAnsi="Arial CYR" w:cs="Arial CYR"/>
                <w:color w:val="000000"/>
                <w:sz w:val="20"/>
                <w:szCs w:val="20"/>
                <w:lang w:val="en-GB"/>
              </w:rPr>
              <w:t xml:space="preserve"> of 20 June 1990 on the approximation of the laws of the Member States relating to active implantable medical devices last amended by Directive 2007/47/EC of the European Parliament and of the Council of 5 September 2007.</w:t>
            </w:r>
          </w:p>
        </w:tc>
        <w:tc>
          <w:tcPr>
            <w:tcW w:w="8027"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b/>
                <w:bCs/>
                <w:color w:val="000000"/>
                <w:sz w:val="20"/>
                <w:szCs w:val="20"/>
              </w:rPr>
              <w:t xml:space="preserve">Директива совета 93/42/EEC от 14 июня 1993 относительно </w:t>
            </w:r>
            <w:r w:rsidR="00D4583A">
              <w:rPr>
                <w:rFonts w:ascii="Arial CYR" w:hAnsi="Arial CYR" w:cs="Arial CYR"/>
                <w:b/>
                <w:bCs/>
                <w:color w:val="000000"/>
                <w:sz w:val="20"/>
                <w:szCs w:val="20"/>
              </w:rPr>
              <w:t>медицинских изделий</w:t>
            </w:r>
            <w:r w:rsidRPr="00454313">
              <w:rPr>
                <w:rFonts w:ascii="Arial CYR" w:hAnsi="Arial CYR" w:cs="Arial CYR"/>
                <w:color w:val="000000"/>
                <w:sz w:val="20"/>
                <w:szCs w:val="20"/>
              </w:rPr>
              <w:t xml:space="preserve"> как последний исправленный Директивой 2007/47/EC Европейского парламента и Совета от 5 сентября 2007.</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b/>
                <w:bCs/>
                <w:color w:val="000000"/>
                <w:sz w:val="20"/>
                <w:szCs w:val="20"/>
              </w:rPr>
              <w:t>Директива совета 90/385/EEC</w:t>
            </w:r>
            <w:r w:rsidRPr="00454313">
              <w:rPr>
                <w:rFonts w:ascii="Arial CYR" w:hAnsi="Arial CYR" w:cs="Arial CYR"/>
                <w:color w:val="000000"/>
                <w:sz w:val="20"/>
                <w:szCs w:val="20"/>
              </w:rPr>
              <w:t xml:space="preserve"> от 20 июня 1990 по приближению законов государств-членов, касающихся активных имплантируемых </w:t>
            </w:r>
            <w:r w:rsidR="00D4583A">
              <w:rPr>
                <w:rFonts w:ascii="Arial CYR" w:hAnsi="Arial CYR" w:cs="Arial CYR"/>
                <w:color w:val="000000"/>
                <w:sz w:val="20"/>
                <w:szCs w:val="20"/>
              </w:rPr>
              <w:t>медицинских изделий</w:t>
            </w:r>
            <w:r w:rsidRPr="00454313">
              <w:rPr>
                <w:rFonts w:ascii="Arial CYR" w:hAnsi="Arial CYR" w:cs="Arial CYR"/>
                <w:color w:val="000000"/>
                <w:sz w:val="20"/>
                <w:szCs w:val="20"/>
              </w:rPr>
              <w:t>, последних исправленный Директивой 2007/47/EC Европейского парламента и Совета от 5 сентября 2007.</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lang w:val="en-GB"/>
              </w:rPr>
            </w:pPr>
            <w:r w:rsidRPr="00454313">
              <w:rPr>
                <w:rFonts w:ascii="Cambria" w:hAnsi="Cambria" w:cs="Cambria"/>
                <w:b/>
                <w:bCs/>
                <w:color w:val="4F81BD"/>
                <w:sz w:val="26"/>
                <w:szCs w:val="26"/>
                <w:lang w:val="en-GB"/>
              </w:rPr>
              <w:t>Interpretative Documents</w:t>
            </w:r>
          </w:p>
        </w:tc>
        <w:tc>
          <w:tcPr>
            <w:tcW w:w="8027" w:type="dxa"/>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rPr>
            </w:pPr>
            <w:r w:rsidRPr="00454313">
              <w:rPr>
                <w:rFonts w:ascii="Cambria" w:hAnsi="Cambria" w:cs="Cambria"/>
                <w:b/>
                <w:bCs/>
                <w:color w:val="4F81BD"/>
                <w:sz w:val="26"/>
                <w:szCs w:val="26"/>
              </w:rPr>
              <w:t>Пояснительные Документы</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b/>
                <w:bCs/>
                <w:color w:val="000000"/>
                <w:sz w:val="20"/>
                <w:szCs w:val="20"/>
                <w:lang w:val="en-GB"/>
              </w:rPr>
              <w:t>MEDDEV 2.7.1</w:t>
            </w:r>
            <w:r w:rsidRPr="00454313">
              <w:rPr>
                <w:rFonts w:ascii="Arial CYR" w:hAnsi="Arial CYR" w:cs="Arial CYR"/>
                <w:color w:val="000000"/>
                <w:sz w:val="20"/>
                <w:szCs w:val="20"/>
                <w:lang w:val="en-GB"/>
              </w:rPr>
              <w:t xml:space="preserve"> Clinical Evaluation: A Guide for Manufacturers and Notified Bodies</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b/>
                <w:bCs/>
                <w:color w:val="000000"/>
                <w:sz w:val="20"/>
                <w:szCs w:val="20"/>
                <w:lang w:val="en-GB"/>
              </w:rPr>
              <w:t>MEDDEV 2.7.1</w:t>
            </w:r>
            <w:r w:rsidRPr="00454313">
              <w:rPr>
                <w:rFonts w:ascii="Arial CYR" w:hAnsi="Arial CYR" w:cs="Arial CYR"/>
                <w:color w:val="000000"/>
                <w:sz w:val="20"/>
                <w:szCs w:val="20"/>
                <w:lang w:val="en-GB"/>
              </w:rPr>
              <w:t>, Appendix 1. Evaluation of Clinical Data - A Guide for Manufacturers and Notified Bodies - Appendix 1: Clinical Evaluation of Coronary Stents</w:t>
            </w:r>
          </w:p>
        </w:tc>
        <w:tc>
          <w:tcPr>
            <w:tcW w:w="8027"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b/>
                <w:bCs/>
                <w:color w:val="000000"/>
                <w:sz w:val="20"/>
                <w:szCs w:val="20"/>
              </w:rPr>
              <w:t>MEDDEV 2.7.1</w:t>
            </w:r>
            <w:r w:rsidRPr="00454313">
              <w:rPr>
                <w:rFonts w:ascii="Arial CYR" w:hAnsi="Arial CYR" w:cs="Arial CYR"/>
                <w:color w:val="000000"/>
                <w:sz w:val="20"/>
                <w:szCs w:val="20"/>
              </w:rPr>
              <w:t xml:space="preserve"> Клиническ</w:t>
            </w:r>
            <w:r w:rsidR="00B65C7A" w:rsidRPr="00454313">
              <w:rPr>
                <w:rFonts w:ascii="Arial CYR" w:hAnsi="Arial CYR" w:cs="Arial CYR"/>
                <w:color w:val="000000"/>
                <w:sz w:val="20"/>
                <w:szCs w:val="20"/>
              </w:rPr>
              <w:t>ая</w:t>
            </w:r>
            <w:r w:rsidRPr="00454313">
              <w:rPr>
                <w:rFonts w:ascii="Arial CYR" w:hAnsi="Arial CYR" w:cs="Arial CYR"/>
                <w:color w:val="000000"/>
                <w:sz w:val="20"/>
                <w:szCs w:val="20"/>
              </w:rPr>
              <w:t xml:space="preserve"> Оценк</w:t>
            </w:r>
            <w:r w:rsidR="00B65C7A" w:rsidRPr="00454313">
              <w:rPr>
                <w:rFonts w:ascii="Arial CYR" w:hAnsi="Arial CYR" w:cs="Arial CYR"/>
                <w:color w:val="000000"/>
                <w:sz w:val="20"/>
                <w:szCs w:val="20"/>
              </w:rPr>
              <w:t>а</w:t>
            </w:r>
            <w:r w:rsidRPr="00454313">
              <w:rPr>
                <w:rFonts w:ascii="Arial CYR" w:hAnsi="Arial CYR" w:cs="Arial CYR"/>
                <w:color w:val="000000"/>
                <w:sz w:val="20"/>
                <w:szCs w:val="20"/>
              </w:rPr>
              <w:t xml:space="preserve">: </w:t>
            </w:r>
            <w:r w:rsidR="00B65C7A" w:rsidRPr="00454313">
              <w:rPr>
                <w:rFonts w:ascii="Arial CYR" w:hAnsi="Arial CYR" w:cs="Arial CYR"/>
                <w:color w:val="000000"/>
                <w:sz w:val="20"/>
                <w:szCs w:val="20"/>
              </w:rPr>
              <w:t xml:space="preserve">Руководство </w:t>
            </w:r>
            <w:r w:rsidRPr="00454313">
              <w:rPr>
                <w:rFonts w:ascii="Arial CYR" w:hAnsi="Arial CYR" w:cs="Arial CYR"/>
                <w:color w:val="000000"/>
                <w:sz w:val="20"/>
                <w:szCs w:val="20"/>
              </w:rPr>
              <w:t>для Производителей и Нотифицированных органов</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b/>
                <w:bCs/>
                <w:color w:val="000000"/>
                <w:sz w:val="20"/>
                <w:szCs w:val="20"/>
              </w:rPr>
              <w:t>MEDDEV 2.7.1</w:t>
            </w:r>
            <w:r w:rsidRPr="00454313">
              <w:rPr>
                <w:rFonts w:ascii="Arial CYR" w:hAnsi="Arial CYR" w:cs="Arial CYR"/>
                <w:color w:val="000000"/>
                <w:sz w:val="20"/>
                <w:szCs w:val="20"/>
              </w:rPr>
              <w:t xml:space="preserve">, Приложение 1. Оценка Клинических Данных - </w:t>
            </w:r>
            <w:r w:rsidR="00B65C7A" w:rsidRPr="00454313">
              <w:rPr>
                <w:rFonts w:ascii="Arial CYR" w:hAnsi="Arial CYR" w:cs="Arial CYR"/>
                <w:color w:val="000000"/>
                <w:sz w:val="20"/>
                <w:szCs w:val="20"/>
              </w:rPr>
              <w:t xml:space="preserve">Руководство </w:t>
            </w:r>
            <w:r w:rsidRPr="00454313">
              <w:rPr>
                <w:rFonts w:ascii="Arial CYR" w:hAnsi="Arial CYR" w:cs="Arial CYR"/>
                <w:color w:val="000000"/>
                <w:sz w:val="20"/>
                <w:szCs w:val="20"/>
              </w:rPr>
              <w:t xml:space="preserve">для Производителей и Нотифицированных органов - Приложение 1: Клиническая Оценка Коронарных </w:t>
            </w:r>
            <w:proofErr w:type="spellStart"/>
            <w:r w:rsidRPr="00454313">
              <w:rPr>
                <w:rFonts w:ascii="Arial CYR" w:hAnsi="Arial CYR" w:cs="Arial CYR"/>
                <w:color w:val="000000"/>
                <w:sz w:val="20"/>
                <w:szCs w:val="20"/>
              </w:rPr>
              <w:t>стентов</w:t>
            </w:r>
            <w:proofErr w:type="spellEnd"/>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lang w:val="en-GB"/>
              </w:rPr>
            </w:pPr>
            <w:r w:rsidRPr="00454313">
              <w:rPr>
                <w:rFonts w:ascii="Cambria" w:hAnsi="Cambria" w:cs="Cambria"/>
                <w:b/>
                <w:bCs/>
                <w:color w:val="4F81BD"/>
                <w:sz w:val="26"/>
                <w:szCs w:val="26"/>
                <w:lang w:val="en-GB"/>
              </w:rPr>
              <w:t>GHTF Final Documents:</w:t>
            </w:r>
          </w:p>
        </w:tc>
        <w:tc>
          <w:tcPr>
            <w:tcW w:w="8027" w:type="dxa"/>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rPr>
            </w:pPr>
            <w:r w:rsidRPr="00454313">
              <w:rPr>
                <w:rFonts w:cs="Cambria"/>
                <w:b/>
                <w:bCs/>
                <w:color w:val="4F81BD"/>
                <w:sz w:val="26"/>
                <w:szCs w:val="26"/>
              </w:rPr>
              <w:t>Финальные документы</w:t>
            </w:r>
            <w:r w:rsidRPr="00454313">
              <w:rPr>
                <w:rFonts w:ascii="Cambria" w:hAnsi="Cambria" w:cs="Cambria"/>
                <w:b/>
                <w:bCs/>
                <w:color w:val="4F81BD"/>
                <w:sz w:val="26"/>
                <w:szCs w:val="26"/>
              </w:rPr>
              <w:t xml:space="preserve"> GHTF:</w:t>
            </w:r>
          </w:p>
        </w:tc>
      </w:tr>
      <w:tr w:rsidR="0011603F" w:rsidRPr="00454313" w:rsidTr="00824CCA">
        <w:tc>
          <w:tcPr>
            <w:tcW w:w="6669" w:type="dxa"/>
            <w:gridSpan w:val="2"/>
          </w:tcPr>
          <w:p w:rsidR="0011603F" w:rsidRPr="00454313" w:rsidRDefault="0011603F" w:rsidP="00E82D65">
            <w:pPr>
              <w:widowControl w:val="0"/>
              <w:tabs>
                <w:tab w:val="left" w:pos="1418"/>
              </w:tabs>
              <w:autoSpaceDE w:val="0"/>
              <w:autoSpaceDN w:val="0"/>
              <w:adjustRightInd w:val="0"/>
              <w:spacing w:after="0" w:line="240" w:lineRule="auto"/>
              <w:ind w:left="1560" w:hanging="1560"/>
              <w:rPr>
                <w:rFonts w:ascii="Arial CYR" w:hAnsi="Arial CYR" w:cs="Arial CYR"/>
                <w:color w:val="000000"/>
                <w:sz w:val="20"/>
                <w:szCs w:val="20"/>
                <w:lang w:val="en-GB"/>
              </w:rPr>
            </w:pPr>
            <w:r w:rsidRPr="00454313">
              <w:rPr>
                <w:rFonts w:ascii="Arial CYR" w:hAnsi="Arial CYR" w:cs="Arial CYR"/>
                <w:b/>
                <w:bCs/>
                <w:color w:val="000000"/>
                <w:sz w:val="20"/>
                <w:szCs w:val="20"/>
                <w:lang w:val="en-GB"/>
              </w:rPr>
              <w:t>SG1/N41:2005</w:t>
            </w:r>
            <w:r w:rsidRPr="00454313">
              <w:rPr>
                <w:rFonts w:ascii="Courier New CYR" w:hAnsi="Courier New CYR" w:cs="Courier New CYR"/>
                <w:color w:val="000000"/>
                <w:sz w:val="20"/>
                <w:szCs w:val="20"/>
                <w:lang w:val="en-GB"/>
              </w:rPr>
              <w:tab/>
            </w:r>
            <w:r w:rsidRPr="00454313">
              <w:rPr>
                <w:rFonts w:ascii="Arial CYR" w:hAnsi="Arial CYR" w:cs="Arial CYR"/>
                <w:color w:val="000000"/>
                <w:sz w:val="20"/>
                <w:szCs w:val="20"/>
                <w:lang w:val="en-GB"/>
              </w:rPr>
              <w:t>Essential Principles of Safety &amp; Performance of Medical Device</w:t>
            </w:r>
          </w:p>
          <w:p w:rsidR="0011603F" w:rsidRPr="00454313" w:rsidRDefault="0011603F" w:rsidP="00E82D65">
            <w:pPr>
              <w:widowControl w:val="0"/>
              <w:tabs>
                <w:tab w:val="left" w:pos="1418"/>
              </w:tabs>
              <w:autoSpaceDE w:val="0"/>
              <w:autoSpaceDN w:val="0"/>
              <w:adjustRightInd w:val="0"/>
              <w:spacing w:after="0" w:line="240" w:lineRule="auto"/>
              <w:ind w:left="1560" w:hanging="1560"/>
              <w:rPr>
                <w:rFonts w:ascii="Arial CYR" w:hAnsi="Arial CYR" w:cs="Arial CYR"/>
                <w:color w:val="000000"/>
                <w:sz w:val="20"/>
                <w:szCs w:val="20"/>
                <w:lang w:val="en-GB"/>
              </w:rPr>
            </w:pPr>
            <w:r w:rsidRPr="00454313">
              <w:rPr>
                <w:rFonts w:ascii="Arial CYR" w:hAnsi="Arial CYR" w:cs="Arial CYR"/>
                <w:b/>
                <w:bCs/>
                <w:color w:val="000000"/>
                <w:sz w:val="20"/>
                <w:szCs w:val="20"/>
                <w:lang w:val="en-GB"/>
              </w:rPr>
              <w:t>SG1/N44:2008</w:t>
            </w:r>
            <w:r w:rsidRPr="00454313">
              <w:rPr>
                <w:rFonts w:ascii="Courier New CYR" w:hAnsi="Courier New CYR" w:cs="Courier New CYR"/>
                <w:color w:val="000000"/>
                <w:sz w:val="20"/>
                <w:szCs w:val="20"/>
                <w:lang w:val="en-GB"/>
              </w:rPr>
              <w:tab/>
            </w:r>
            <w:r w:rsidRPr="00454313">
              <w:rPr>
                <w:rFonts w:ascii="Arial CYR" w:hAnsi="Arial CYR" w:cs="Arial CYR"/>
                <w:color w:val="000000"/>
                <w:sz w:val="20"/>
                <w:szCs w:val="20"/>
                <w:lang w:val="en-GB"/>
              </w:rPr>
              <w:t>The Role of Standards in the Assessment of Medical Devices</w:t>
            </w:r>
          </w:p>
          <w:p w:rsidR="0011603F" w:rsidRPr="00454313" w:rsidRDefault="0011603F" w:rsidP="00E82D65">
            <w:pPr>
              <w:widowControl w:val="0"/>
              <w:tabs>
                <w:tab w:val="left" w:pos="1418"/>
              </w:tabs>
              <w:autoSpaceDE w:val="0"/>
              <w:autoSpaceDN w:val="0"/>
              <w:adjustRightInd w:val="0"/>
              <w:spacing w:after="0" w:line="240" w:lineRule="auto"/>
              <w:ind w:left="1560" w:hanging="1560"/>
              <w:rPr>
                <w:rFonts w:ascii="Arial CYR" w:hAnsi="Arial CYR" w:cs="Arial CYR"/>
                <w:color w:val="000000"/>
                <w:sz w:val="20"/>
                <w:szCs w:val="20"/>
                <w:lang w:val="en-GB"/>
              </w:rPr>
            </w:pPr>
            <w:r w:rsidRPr="00454313">
              <w:rPr>
                <w:rFonts w:ascii="Arial CYR" w:hAnsi="Arial CYR" w:cs="Arial CYR"/>
                <w:b/>
                <w:bCs/>
                <w:color w:val="000000"/>
                <w:sz w:val="20"/>
                <w:szCs w:val="20"/>
                <w:lang w:val="en-GB"/>
              </w:rPr>
              <w:t>SG1/N065:2010</w:t>
            </w:r>
            <w:r w:rsidRPr="00454313">
              <w:rPr>
                <w:rFonts w:ascii="Courier New CYR" w:hAnsi="Courier New CYR" w:cs="Courier New CYR"/>
                <w:color w:val="000000"/>
                <w:sz w:val="20"/>
                <w:szCs w:val="20"/>
                <w:lang w:val="en-GB"/>
              </w:rPr>
              <w:tab/>
            </w:r>
            <w:r w:rsidRPr="00454313">
              <w:rPr>
                <w:rFonts w:ascii="Arial CYR" w:hAnsi="Arial CYR" w:cs="Arial CYR"/>
                <w:color w:val="000000"/>
                <w:sz w:val="20"/>
                <w:szCs w:val="20"/>
                <w:lang w:val="en-GB"/>
              </w:rPr>
              <w:t>Registration of Manufacturers and Other Parties and Listing of Medical Devices</w:t>
            </w:r>
          </w:p>
          <w:p w:rsidR="0011603F" w:rsidRPr="00454313" w:rsidRDefault="0011603F" w:rsidP="00E82D65">
            <w:pPr>
              <w:widowControl w:val="0"/>
              <w:tabs>
                <w:tab w:val="left" w:pos="1418"/>
              </w:tabs>
              <w:autoSpaceDE w:val="0"/>
              <w:autoSpaceDN w:val="0"/>
              <w:adjustRightInd w:val="0"/>
              <w:spacing w:after="0" w:line="240" w:lineRule="auto"/>
              <w:ind w:left="1560" w:hanging="1560"/>
              <w:rPr>
                <w:rFonts w:ascii="Arial CYR" w:hAnsi="Arial CYR" w:cs="Arial CYR"/>
                <w:color w:val="000000"/>
                <w:sz w:val="20"/>
                <w:szCs w:val="20"/>
                <w:lang w:val="en-GB"/>
              </w:rPr>
            </w:pPr>
            <w:r w:rsidRPr="00454313">
              <w:rPr>
                <w:rFonts w:ascii="Arial CYR" w:hAnsi="Arial CYR" w:cs="Arial CYR"/>
                <w:b/>
                <w:bCs/>
                <w:color w:val="000000"/>
                <w:sz w:val="20"/>
                <w:szCs w:val="20"/>
                <w:lang w:val="en-GB"/>
              </w:rPr>
              <w:t>SG2/N47:2005</w:t>
            </w:r>
            <w:r w:rsidRPr="00454313">
              <w:rPr>
                <w:rFonts w:ascii="Courier New CYR" w:hAnsi="Courier New CYR" w:cs="Courier New CYR"/>
                <w:color w:val="000000"/>
                <w:sz w:val="20"/>
                <w:szCs w:val="20"/>
                <w:lang w:val="en-GB"/>
              </w:rPr>
              <w:tab/>
            </w:r>
            <w:r w:rsidRPr="00454313">
              <w:rPr>
                <w:rFonts w:ascii="Arial CYR" w:hAnsi="Arial CYR" w:cs="Arial CYR"/>
                <w:color w:val="000000"/>
                <w:sz w:val="20"/>
                <w:szCs w:val="20"/>
                <w:lang w:val="en-GB"/>
              </w:rPr>
              <w:t>Review of Current Requirements on Post-Market Surveillance</w:t>
            </w:r>
          </w:p>
          <w:p w:rsidR="0011603F" w:rsidRPr="00454313" w:rsidRDefault="0011603F" w:rsidP="00E82D65">
            <w:pPr>
              <w:widowControl w:val="0"/>
              <w:tabs>
                <w:tab w:val="left" w:pos="1418"/>
              </w:tabs>
              <w:autoSpaceDE w:val="0"/>
              <w:autoSpaceDN w:val="0"/>
              <w:adjustRightInd w:val="0"/>
              <w:spacing w:after="0" w:line="240" w:lineRule="auto"/>
              <w:ind w:left="1560" w:hanging="1560"/>
              <w:rPr>
                <w:rFonts w:ascii="Arial CYR" w:hAnsi="Arial CYR" w:cs="Arial CYR"/>
                <w:color w:val="000000"/>
                <w:sz w:val="20"/>
                <w:szCs w:val="20"/>
                <w:lang w:val="en-GB"/>
              </w:rPr>
            </w:pPr>
            <w:r w:rsidRPr="00454313">
              <w:rPr>
                <w:rFonts w:ascii="Arial CYR" w:hAnsi="Arial CYR" w:cs="Arial CYR"/>
                <w:b/>
                <w:bCs/>
                <w:color w:val="000000"/>
                <w:sz w:val="20"/>
                <w:szCs w:val="20"/>
                <w:lang w:val="en-GB"/>
              </w:rPr>
              <w:t>SG5/N1:2007</w:t>
            </w:r>
            <w:r w:rsidRPr="00454313">
              <w:rPr>
                <w:rFonts w:ascii="Arial CYR" w:hAnsi="Arial CYR" w:cs="Arial CYR"/>
                <w:b/>
                <w:bCs/>
                <w:color w:val="000000"/>
                <w:sz w:val="20"/>
                <w:szCs w:val="20"/>
                <w:lang w:val="en-GB"/>
              </w:rPr>
              <w:tab/>
            </w:r>
            <w:r w:rsidRPr="00454313">
              <w:rPr>
                <w:rFonts w:ascii="Arial CYR" w:hAnsi="Arial CYR" w:cs="Arial CYR"/>
                <w:color w:val="000000"/>
                <w:sz w:val="20"/>
                <w:szCs w:val="20"/>
                <w:lang w:val="en-GB"/>
              </w:rPr>
              <w:t>Clinical Evidence - Key Definitions and Concepts</w:t>
            </w:r>
          </w:p>
          <w:p w:rsidR="0011603F" w:rsidRPr="00454313" w:rsidRDefault="0011603F" w:rsidP="00E82D65">
            <w:pPr>
              <w:widowControl w:val="0"/>
              <w:tabs>
                <w:tab w:val="left" w:pos="1418"/>
              </w:tabs>
              <w:autoSpaceDE w:val="0"/>
              <w:autoSpaceDN w:val="0"/>
              <w:adjustRightInd w:val="0"/>
              <w:spacing w:after="0" w:line="240" w:lineRule="auto"/>
              <w:ind w:left="1560" w:hanging="1560"/>
              <w:rPr>
                <w:rFonts w:ascii="Arial CYR" w:hAnsi="Arial CYR" w:cs="Arial CYR"/>
                <w:color w:val="000000"/>
                <w:sz w:val="20"/>
                <w:szCs w:val="20"/>
                <w:lang w:val="en-GB"/>
              </w:rPr>
            </w:pPr>
            <w:r w:rsidRPr="00454313">
              <w:rPr>
                <w:rFonts w:ascii="Arial CYR" w:hAnsi="Arial CYR" w:cs="Arial CYR"/>
                <w:b/>
                <w:bCs/>
                <w:color w:val="000000"/>
                <w:sz w:val="20"/>
                <w:szCs w:val="20"/>
                <w:lang w:val="en-GB"/>
              </w:rPr>
              <w:t>SG5/N2:2007</w:t>
            </w:r>
            <w:r w:rsidRPr="00454313">
              <w:rPr>
                <w:rFonts w:ascii="Arial CYR" w:hAnsi="Arial CYR" w:cs="Arial CYR"/>
                <w:b/>
                <w:bCs/>
                <w:color w:val="000000"/>
                <w:sz w:val="20"/>
                <w:szCs w:val="20"/>
                <w:lang w:val="en-GB"/>
              </w:rPr>
              <w:tab/>
            </w:r>
            <w:r w:rsidRPr="00454313">
              <w:rPr>
                <w:rFonts w:ascii="Arial CYR" w:hAnsi="Arial CYR" w:cs="Arial CYR"/>
                <w:color w:val="000000"/>
                <w:sz w:val="20"/>
                <w:szCs w:val="20"/>
                <w:lang w:val="en-GB"/>
              </w:rPr>
              <w:t>Clinical Evaluation</w:t>
            </w:r>
          </w:p>
          <w:p w:rsidR="0011603F" w:rsidRPr="00454313" w:rsidRDefault="0011603F" w:rsidP="00E82D65">
            <w:pPr>
              <w:widowControl w:val="0"/>
              <w:tabs>
                <w:tab w:val="left" w:pos="1418"/>
              </w:tabs>
              <w:autoSpaceDE w:val="0"/>
              <w:autoSpaceDN w:val="0"/>
              <w:adjustRightInd w:val="0"/>
              <w:spacing w:after="0" w:line="240" w:lineRule="auto"/>
              <w:ind w:left="1560" w:hanging="1560"/>
              <w:rPr>
                <w:rFonts w:ascii="Arial CYR" w:hAnsi="Arial CYR" w:cs="Arial CYR"/>
                <w:color w:val="000000"/>
                <w:sz w:val="20"/>
                <w:szCs w:val="20"/>
                <w:lang w:val="en-GB"/>
              </w:rPr>
            </w:pPr>
            <w:r w:rsidRPr="00454313">
              <w:rPr>
                <w:rFonts w:ascii="Arial CYR" w:hAnsi="Arial CYR" w:cs="Arial CYR"/>
                <w:b/>
                <w:bCs/>
                <w:color w:val="000000"/>
                <w:sz w:val="20"/>
                <w:szCs w:val="20"/>
                <w:lang w:val="en-GB"/>
              </w:rPr>
              <w:t>SG5/N3:2010</w:t>
            </w:r>
            <w:r w:rsidRPr="00454313">
              <w:rPr>
                <w:rFonts w:ascii="Arial CYR" w:hAnsi="Arial CYR" w:cs="Arial CYR"/>
                <w:b/>
                <w:bCs/>
                <w:color w:val="000000"/>
                <w:sz w:val="20"/>
                <w:szCs w:val="20"/>
                <w:lang w:val="en-GB"/>
              </w:rPr>
              <w:tab/>
            </w:r>
            <w:r w:rsidRPr="00454313">
              <w:rPr>
                <w:rFonts w:ascii="Arial CYR" w:hAnsi="Arial CYR" w:cs="Arial CYR"/>
                <w:color w:val="000000"/>
                <w:sz w:val="20"/>
                <w:szCs w:val="20"/>
                <w:lang w:val="en-GB"/>
              </w:rPr>
              <w:t>Clinical Investigations</w:t>
            </w:r>
          </w:p>
        </w:tc>
        <w:tc>
          <w:tcPr>
            <w:tcW w:w="8027" w:type="dxa"/>
          </w:tcPr>
          <w:p w:rsidR="0011603F" w:rsidRPr="00454313" w:rsidRDefault="0011603F" w:rsidP="00864F5D">
            <w:pPr>
              <w:widowControl w:val="0"/>
              <w:tabs>
                <w:tab w:val="left" w:pos="1593"/>
              </w:tabs>
              <w:autoSpaceDE w:val="0"/>
              <w:autoSpaceDN w:val="0"/>
              <w:adjustRightInd w:val="0"/>
              <w:spacing w:after="0" w:line="240" w:lineRule="auto"/>
              <w:ind w:left="1593" w:hanging="1593"/>
              <w:rPr>
                <w:rFonts w:ascii="Arial CYR" w:hAnsi="Arial CYR" w:cs="Arial CYR"/>
                <w:color w:val="000000"/>
                <w:sz w:val="20"/>
                <w:szCs w:val="20"/>
              </w:rPr>
            </w:pPr>
            <w:r w:rsidRPr="00454313">
              <w:rPr>
                <w:rFonts w:ascii="Arial CYR" w:hAnsi="Arial CYR" w:cs="Arial CYR"/>
                <w:b/>
                <w:bCs/>
                <w:color w:val="000000"/>
                <w:sz w:val="20"/>
                <w:szCs w:val="20"/>
              </w:rPr>
              <w:t>SG1/N41:2005</w:t>
            </w:r>
            <w:r w:rsidRPr="00454313">
              <w:rPr>
                <w:rFonts w:ascii="Courier New CYR" w:hAnsi="Courier New CYR" w:cs="Courier New CYR"/>
                <w:color w:val="000000"/>
                <w:sz w:val="20"/>
                <w:szCs w:val="20"/>
              </w:rPr>
              <w:tab/>
            </w:r>
            <w:r w:rsidRPr="00454313">
              <w:rPr>
                <w:rFonts w:ascii="Arial CYR" w:hAnsi="Arial CYR" w:cs="Arial CYR"/>
                <w:color w:val="000000"/>
                <w:sz w:val="20"/>
                <w:szCs w:val="20"/>
              </w:rPr>
              <w:t xml:space="preserve">Существенные </w:t>
            </w:r>
            <w:r w:rsidR="00744605" w:rsidRPr="00454313">
              <w:rPr>
                <w:rFonts w:ascii="Arial CYR" w:hAnsi="Arial CYR" w:cs="Arial CYR"/>
                <w:color w:val="000000"/>
                <w:sz w:val="20"/>
                <w:szCs w:val="20"/>
              </w:rPr>
              <w:t>правила безопасности и</w:t>
            </w:r>
            <w:r w:rsidRPr="00454313">
              <w:rPr>
                <w:rFonts w:ascii="Arial CYR" w:hAnsi="Arial CYR" w:cs="Arial CYR"/>
                <w:color w:val="000000"/>
                <w:sz w:val="20"/>
                <w:szCs w:val="20"/>
              </w:rPr>
              <w:t xml:space="preserve"> </w:t>
            </w:r>
            <w:r w:rsidR="00744605" w:rsidRPr="00454313">
              <w:rPr>
                <w:rFonts w:ascii="Arial CYR" w:hAnsi="Arial CYR" w:cs="Arial CYR"/>
                <w:color w:val="000000"/>
                <w:sz w:val="20"/>
                <w:szCs w:val="20"/>
              </w:rPr>
              <w:t xml:space="preserve">эксплуатационных характеристик медицинского </w:t>
            </w:r>
            <w:r w:rsidR="00AA15C3">
              <w:rPr>
                <w:rFonts w:ascii="Arial CYR" w:hAnsi="Arial CYR" w:cs="Arial CYR"/>
                <w:color w:val="000000"/>
                <w:sz w:val="20"/>
                <w:szCs w:val="20"/>
              </w:rPr>
              <w:t>изделия</w:t>
            </w:r>
          </w:p>
          <w:p w:rsidR="0011603F" w:rsidRPr="00454313" w:rsidRDefault="0011603F" w:rsidP="00864F5D">
            <w:pPr>
              <w:widowControl w:val="0"/>
              <w:tabs>
                <w:tab w:val="left" w:pos="1593"/>
              </w:tabs>
              <w:autoSpaceDE w:val="0"/>
              <w:autoSpaceDN w:val="0"/>
              <w:adjustRightInd w:val="0"/>
              <w:spacing w:after="0" w:line="240" w:lineRule="auto"/>
              <w:ind w:left="1593" w:hanging="1593"/>
              <w:rPr>
                <w:rFonts w:ascii="Arial CYR" w:hAnsi="Arial CYR" w:cs="Arial CYR"/>
                <w:color w:val="000000"/>
                <w:sz w:val="20"/>
                <w:szCs w:val="20"/>
              </w:rPr>
            </w:pPr>
            <w:r w:rsidRPr="00454313">
              <w:rPr>
                <w:rFonts w:ascii="Arial CYR" w:hAnsi="Arial CYR" w:cs="Arial CYR"/>
                <w:b/>
                <w:bCs/>
                <w:color w:val="000000"/>
                <w:sz w:val="20"/>
                <w:szCs w:val="20"/>
              </w:rPr>
              <w:t>SG1/N44:2008</w:t>
            </w:r>
            <w:r w:rsidRPr="00454313">
              <w:rPr>
                <w:rFonts w:ascii="Courier New CYR" w:hAnsi="Courier New CYR" w:cs="Courier New CYR"/>
                <w:color w:val="000000"/>
                <w:sz w:val="20"/>
                <w:szCs w:val="20"/>
              </w:rPr>
              <w:tab/>
            </w:r>
            <w:r w:rsidRPr="00454313">
              <w:rPr>
                <w:rFonts w:ascii="Arial CYR" w:hAnsi="Arial CYR" w:cs="Arial CYR"/>
                <w:color w:val="000000"/>
                <w:sz w:val="20"/>
                <w:szCs w:val="20"/>
              </w:rPr>
              <w:t xml:space="preserve">Роль Стандартов в Исследовании </w:t>
            </w:r>
            <w:r w:rsidR="00D4583A">
              <w:rPr>
                <w:rFonts w:ascii="Arial CYR" w:hAnsi="Arial CYR" w:cs="Arial CYR"/>
                <w:color w:val="000000"/>
                <w:sz w:val="20"/>
                <w:szCs w:val="20"/>
              </w:rPr>
              <w:t>Медицинских изделий</w:t>
            </w:r>
          </w:p>
          <w:p w:rsidR="0011603F" w:rsidRPr="00454313" w:rsidRDefault="0011603F" w:rsidP="00864F5D">
            <w:pPr>
              <w:widowControl w:val="0"/>
              <w:tabs>
                <w:tab w:val="left" w:pos="1593"/>
              </w:tabs>
              <w:autoSpaceDE w:val="0"/>
              <w:autoSpaceDN w:val="0"/>
              <w:adjustRightInd w:val="0"/>
              <w:spacing w:after="0" w:line="240" w:lineRule="auto"/>
              <w:ind w:left="1593" w:hanging="1593"/>
              <w:rPr>
                <w:rFonts w:ascii="Arial CYR" w:hAnsi="Arial CYR" w:cs="Arial CYR"/>
                <w:color w:val="000000"/>
                <w:sz w:val="20"/>
                <w:szCs w:val="20"/>
              </w:rPr>
            </w:pPr>
            <w:r w:rsidRPr="00454313">
              <w:rPr>
                <w:rFonts w:ascii="Arial CYR" w:hAnsi="Arial CYR" w:cs="Arial CYR"/>
                <w:b/>
                <w:bCs/>
                <w:color w:val="000000"/>
                <w:sz w:val="20"/>
                <w:szCs w:val="20"/>
              </w:rPr>
              <w:t>SG1/N065:2010</w:t>
            </w:r>
            <w:r w:rsidRPr="00454313">
              <w:rPr>
                <w:rFonts w:ascii="Courier New CYR" w:hAnsi="Courier New CYR" w:cs="Courier New CYR"/>
                <w:color w:val="000000"/>
                <w:sz w:val="20"/>
                <w:szCs w:val="20"/>
              </w:rPr>
              <w:tab/>
            </w:r>
            <w:r w:rsidRPr="00454313">
              <w:rPr>
                <w:rFonts w:ascii="Arial CYR" w:hAnsi="Arial CYR" w:cs="Arial CYR"/>
                <w:color w:val="000000"/>
                <w:sz w:val="20"/>
                <w:szCs w:val="20"/>
              </w:rPr>
              <w:t xml:space="preserve">Регистрация Производителей и Других сторон и Перечня </w:t>
            </w:r>
            <w:r w:rsidR="00D4583A">
              <w:rPr>
                <w:rFonts w:ascii="Arial CYR" w:hAnsi="Arial CYR" w:cs="Arial CYR"/>
                <w:color w:val="000000"/>
                <w:sz w:val="20"/>
                <w:szCs w:val="20"/>
              </w:rPr>
              <w:t>Медицинских изделий</w:t>
            </w:r>
          </w:p>
          <w:p w:rsidR="0011603F" w:rsidRPr="00454313" w:rsidRDefault="0011603F" w:rsidP="00864F5D">
            <w:pPr>
              <w:widowControl w:val="0"/>
              <w:tabs>
                <w:tab w:val="left" w:pos="1593"/>
              </w:tabs>
              <w:autoSpaceDE w:val="0"/>
              <w:autoSpaceDN w:val="0"/>
              <w:adjustRightInd w:val="0"/>
              <w:spacing w:after="0" w:line="240" w:lineRule="auto"/>
              <w:ind w:left="1593" w:hanging="1593"/>
              <w:rPr>
                <w:rFonts w:ascii="Arial CYR" w:hAnsi="Arial CYR" w:cs="Arial CYR"/>
                <w:color w:val="000000"/>
                <w:sz w:val="20"/>
                <w:szCs w:val="20"/>
              </w:rPr>
            </w:pPr>
            <w:r w:rsidRPr="00454313">
              <w:rPr>
                <w:rFonts w:ascii="Arial CYR" w:hAnsi="Arial CYR" w:cs="Arial CYR"/>
                <w:b/>
                <w:bCs/>
                <w:color w:val="000000"/>
                <w:sz w:val="20"/>
                <w:szCs w:val="20"/>
              </w:rPr>
              <w:t>SG2/N47:2005</w:t>
            </w:r>
            <w:r w:rsidRPr="00454313">
              <w:rPr>
                <w:rFonts w:ascii="Courier New CYR" w:hAnsi="Courier New CYR" w:cs="Courier New CYR"/>
                <w:color w:val="000000"/>
                <w:sz w:val="20"/>
                <w:szCs w:val="20"/>
              </w:rPr>
              <w:tab/>
            </w:r>
            <w:r w:rsidRPr="00454313">
              <w:rPr>
                <w:rFonts w:ascii="Arial CYR" w:hAnsi="Arial CYR" w:cs="Arial CYR"/>
                <w:color w:val="000000"/>
                <w:sz w:val="20"/>
                <w:szCs w:val="20"/>
              </w:rPr>
              <w:t>Обзор Текущих Требований к Пост-</w:t>
            </w:r>
            <w:r w:rsidR="00C76919" w:rsidRPr="00454313">
              <w:rPr>
                <w:rFonts w:ascii="Arial CYR" w:hAnsi="Arial CYR" w:cs="Arial CYR"/>
                <w:color w:val="000000"/>
                <w:sz w:val="20"/>
                <w:szCs w:val="20"/>
              </w:rPr>
              <w:t>продажном</w:t>
            </w:r>
            <w:r w:rsidRPr="00454313">
              <w:rPr>
                <w:rFonts w:ascii="Arial CYR" w:hAnsi="Arial CYR" w:cs="Arial CYR"/>
                <w:color w:val="000000"/>
                <w:sz w:val="20"/>
                <w:szCs w:val="20"/>
              </w:rPr>
              <w:t>у наблюдению (PMS)</w:t>
            </w:r>
          </w:p>
          <w:p w:rsidR="0011603F" w:rsidRPr="00454313" w:rsidRDefault="0011603F" w:rsidP="00864F5D">
            <w:pPr>
              <w:widowControl w:val="0"/>
              <w:tabs>
                <w:tab w:val="left" w:pos="1593"/>
              </w:tabs>
              <w:autoSpaceDE w:val="0"/>
              <w:autoSpaceDN w:val="0"/>
              <w:adjustRightInd w:val="0"/>
              <w:spacing w:after="0" w:line="240" w:lineRule="auto"/>
              <w:ind w:left="1593" w:hanging="1593"/>
              <w:rPr>
                <w:rFonts w:ascii="Arial CYR" w:hAnsi="Arial CYR" w:cs="Arial CYR"/>
                <w:color w:val="000000"/>
                <w:sz w:val="20"/>
                <w:szCs w:val="20"/>
              </w:rPr>
            </w:pPr>
            <w:r w:rsidRPr="00454313">
              <w:rPr>
                <w:rFonts w:ascii="Arial CYR" w:hAnsi="Arial CYR" w:cs="Arial CYR"/>
                <w:b/>
                <w:bCs/>
                <w:color w:val="000000"/>
                <w:sz w:val="20"/>
                <w:szCs w:val="20"/>
              </w:rPr>
              <w:t>SG5/N1:2007</w:t>
            </w:r>
            <w:r w:rsidRPr="00454313">
              <w:rPr>
                <w:rFonts w:ascii="Arial CYR" w:hAnsi="Arial CYR" w:cs="Arial CYR"/>
                <w:b/>
                <w:bCs/>
                <w:color w:val="000000"/>
                <w:sz w:val="20"/>
                <w:szCs w:val="20"/>
              </w:rPr>
              <w:tab/>
            </w:r>
            <w:r w:rsidRPr="00454313">
              <w:rPr>
                <w:rFonts w:ascii="Arial CYR" w:hAnsi="Arial CYR" w:cs="Arial CYR"/>
                <w:color w:val="000000"/>
                <w:sz w:val="20"/>
                <w:szCs w:val="20"/>
              </w:rPr>
              <w:t>Клинические данные - Ключевые Определения и Понятия</w:t>
            </w:r>
          </w:p>
          <w:p w:rsidR="0011603F" w:rsidRPr="00454313" w:rsidRDefault="0011603F" w:rsidP="00864F5D">
            <w:pPr>
              <w:widowControl w:val="0"/>
              <w:tabs>
                <w:tab w:val="left" w:pos="1593"/>
              </w:tabs>
              <w:autoSpaceDE w:val="0"/>
              <w:autoSpaceDN w:val="0"/>
              <w:adjustRightInd w:val="0"/>
              <w:spacing w:after="0" w:line="240" w:lineRule="auto"/>
              <w:ind w:left="1593" w:hanging="1593"/>
              <w:rPr>
                <w:rFonts w:ascii="Arial CYR" w:hAnsi="Arial CYR" w:cs="Arial CYR"/>
                <w:color w:val="000000"/>
                <w:sz w:val="20"/>
                <w:szCs w:val="20"/>
              </w:rPr>
            </w:pPr>
            <w:r w:rsidRPr="00454313">
              <w:rPr>
                <w:rFonts w:ascii="Arial CYR" w:hAnsi="Arial CYR" w:cs="Arial CYR"/>
                <w:b/>
                <w:bCs/>
                <w:color w:val="000000"/>
                <w:sz w:val="20"/>
                <w:szCs w:val="20"/>
              </w:rPr>
              <w:t>SG5/N2:2007</w:t>
            </w:r>
            <w:r w:rsidRPr="00454313">
              <w:rPr>
                <w:rFonts w:ascii="Arial CYR" w:hAnsi="Arial CYR" w:cs="Arial CYR"/>
                <w:b/>
                <w:bCs/>
                <w:color w:val="000000"/>
                <w:sz w:val="20"/>
                <w:szCs w:val="20"/>
              </w:rPr>
              <w:tab/>
            </w:r>
            <w:r w:rsidRPr="00454313">
              <w:rPr>
                <w:rFonts w:ascii="Arial CYR" w:hAnsi="Arial CYR" w:cs="Arial CYR"/>
                <w:color w:val="000000"/>
                <w:sz w:val="20"/>
                <w:szCs w:val="20"/>
              </w:rPr>
              <w:t>Клиническая Оценка</w:t>
            </w:r>
          </w:p>
          <w:p w:rsidR="0011603F" w:rsidRPr="00454313" w:rsidRDefault="0011603F" w:rsidP="00864F5D">
            <w:pPr>
              <w:widowControl w:val="0"/>
              <w:tabs>
                <w:tab w:val="left" w:pos="1593"/>
              </w:tabs>
              <w:autoSpaceDE w:val="0"/>
              <w:autoSpaceDN w:val="0"/>
              <w:adjustRightInd w:val="0"/>
              <w:spacing w:after="0" w:line="240" w:lineRule="auto"/>
              <w:ind w:left="1593" w:hanging="1593"/>
              <w:rPr>
                <w:rFonts w:ascii="Arial CYR" w:hAnsi="Arial CYR" w:cs="Arial CYR"/>
                <w:color w:val="000000"/>
                <w:sz w:val="20"/>
                <w:szCs w:val="20"/>
              </w:rPr>
            </w:pPr>
            <w:r w:rsidRPr="00454313">
              <w:rPr>
                <w:rFonts w:ascii="Arial CYR" w:hAnsi="Arial CYR" w:cs="Arial CYR"/>
                <w:b/>
                <w:bCs/>
                <w:color w:val="000000"/>
                <w:sz w:val="20"/>
                <w:szCs w:val="20"/>
              </w:rPr>
              <w:t>SG5/N3:2010</w:t>
            </w:r>
            <w:r w:rsidRPr="00454313">
              <w:rPr>
                <w:rFonts w:ascii="Arial CYR" w:hAnsi="Arial CYR" w:cs="Arial CYR"/>
                <w:b/>
                <w:bCs/>
                <w:color w:val="000000"/>
                <w:sz w:val="20"/>
                <w:szCs w:val="20"/>
              </w:rPr>
              <w:tab/>
            </w:r>
            <w:r w:rsidRPr="00454313">
              <w:rPr>
                <w:rFonts w:ascii="Arial CYR" w:hAnsi="Arial CYR" w:cs="Arial CYR"/>
                <w:color w:val="000000"/>
                <w:sz w:val="20"/>
                <w:szCs w:val="20"/>
              </w:rPr>
              <w:t>Клинические Исследования</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lang w:val="en-GB"/>
              </w:rPr>
            </w:pPr>
            <w:r w:rsidRPr="00454313">
              <w:rPr>
                <w:rFonts w:ascii="Cambria" w:hAnsi="Cambria" w:cs="Cambria"/>
                <w:b/>
                <w:bCs/>
                <w:color w:val="4F81BD"/>
                <w:sz w:val="26"/>
                <w:szCs w:val="26"/>
                <w:lang w:val="en-GB"/>
              </w:rPr>
              <w:lastRenderedPageBreak/>
              <w:t>International Standards:</w:t>
            </w:r>
          </w:p>
        </w:tc>
        <w:tc>
          <w:tcPr>
            <w:tcW w:w="8027" w:type="dxa"/>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rPr>
            </w:pPr>
            <w:r w:rsidRPr="00454313">
              <w:rPr>
                <w:rFonts w:ascii="Cambria" w:hAnsi="Cambria" w:cs="Cambria"/>
                <w:b/>
                <w:bCs/>
                <w:color w:val="4F81BD"/>
                <w:sz w:val="26"/>
                <w:szCs w:val="26"/>
              </w:rPr>
              <w:t>Международные стандарты:</w:t>
            </w:r>
          </w:p>
        </w:tc>
      </w:tr>
      <w:tr w:rsidR="0011603F" w:rsidRPr="00454313" w:rsidTr="00824CCA">
        <w:tc>
          <w:tcPr>
            <w:tcW w:w="6669" w:type="dxa"/>
            <w:gridSpan w:val="2"/>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b/>
                <w:bCs/>
                <w:color w:val="000000"/>
                <w:sz w:val="20"/>
                <w:szCs w:val="20"/>
                <w:lang w:val="en-GB"/>
              </w:rPr>
              <w:t>EN ISO 14155:2011</w:t>
            </w:r>
            <w:r w:rsidRPr="00454313">
              <w:rPr>
                <w:rFonts w:ascii="Arial CYR" w:hAnsi="Arial CYR" w:cs="Arial CYR"/>
                <w:color w:val="000000"/>
                <w:sz w:val="20"/>
                <w:szCs w:val="20"/>
                <w:lang w:val="en-GB"/>
              </w:rPr>
              <w:t xml:space="preserve"> Clinical investigation of Medical Devices for human subjects. Good clinical practice; Second edition 2011-02-01.</w:t>
            </w:r>
          </w:p>
          <w:p w:rsidR="0011603F" w:rsidRPr="00454313" w:rsidRDefault="0011603F" w:rsidP="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b/>
                <w:bCs/>
                <w:color w:val="000000"/>
                <w:sz w:val="20"/>
                <w:szCs w:val="20"/>
                <w:lang w:val="en-GB"/>
              </w:rPr>
              <w:t>EN ISO 14971:2009</w:t>
            </w:r>
            <w:r w:rsidRPr="00454313">
              <w:rPr>
                <w:rFonts w:ascii="Arial CYR" w:hAnsi="Arial CYR" w:cs="Arial CYR"/>
                <w:color w:val="000000"/>
                <w:sz w:val="20"/>
                <w:szCs w:val="20"/>
                <w:lang w:val="en-GB"/>
              </w:rPr>
              <w:t xml:space="preserve"> Application of risk management to medical devices</w:t>
            </w:r>
          </w:p>
        </w:tc>
        <w:tc>
          <w:tcPr>
            <w:tcW w:w="8027" w:type="dxa"/>
          </w:tcPr>
          <w:p w:rsidR="0011603F" w:rsidRPr="00454313" w:rsidRDefault="0011603F" w:rsidP="00E502D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b/>
                <w:bCs/>
                <w:color w:val="000000"/>
                <w:sz w:val="20"/>
                <w:szCs w:val="20"/>
              </w:rPr>
              <w:t>EN ISO 14155:2011</w:t>
            </w:r>
            <w:r w:rsidRPr="00454313">
              <w:rPr>
                <w:rFonts w:ascii="Arial CYR" w:hAnsi="Arial CYR" w:cs="Arial CYR"/>
                <w:color w:val="000000"/>
                <w:sz w:val="20"/>
                <w:szCs w:val="20"/>
              </w:rPr>
              <w:t xml:space="preserve"> Клиническое исследование </w:t>
            </w:r>
            <w:r w:rsidR="00D4583A">
              <w:rPr>
                <w:rFonts w:ascii="Arial CYR" w:hAnsi="Arial CYR" w:cs="Arial CYR"/>
                <w:color w:val="000000"/>
                <w:sz w:val="20"/>
                <w:szCs w:val="20"/>
              </w:rPr>
              <w:t>медицинских изделий</w:t>
            </w:r>
            <w:r w:rsidRPr="00454313">
              <w:rPr>
                <w:rFonts w:ascii="Arial CYR" w:hAnsi="Arial CYR" w:cs="Arial CYR"/>
                <w:color w:val="000000"/>
                <w:sz w:val="20"/>
                <w:szCs w:val="20"/>
              </w:rPr>
              <w:t xml:space="preserve"> для челове</w:t>
            </w:r>
            <w:r w:rsidR="00B65C7A" w:rsidRPr="00454313">
              <w:rPr>
                <w:rFonts w:ascii="Arial CYR" w:hAnsi="Arial CYR" w:cs="Arial CYR"/>
                <w:color w:val="000000"/>
                <w:sz w:val="20"/>
                <w:szCs w:val="20"/>
              </w:rPr>
              <w:t>ка</w:t>
            </w:r>
            <w:r w:rsidRPr="00454313">
              <w:rPr>
                <w:rFonts w:ascii="Arial CYR" w:hAnsi="Arial CYR" w:cs="Arial CYR"/>
                <w:color w:val="000000"/>
                <w:sz w:val="20"/>
                <w:szCs w:val="20"/>
              </w:rPr>
              <w:t>. Хорошая клиническая практика; Второе издание 2011-02-01.</w:t>
            </w:r>
            <w:r w:rsidR="00E502D7" w:rsidRPr="00454313">
              <w:rPr>
                <w:rFonts w:ascii="Arial CYR" w:hAnsi="Arial CYR" w:cs="Arial CYR"/>
                <w:color w:val="000000"/>
                <w:sz w:val="20"/>
                <w:szCs w:val="20"/>
              </w:rPr>
              <w:t xml:space="preserve"> (см. также</w:t>
            </w:r>
            <w:r w:rsidR="00E502D7" w:rsidRPr="00454313">
              <w:rPr>
                <w:rStyle w:val="a5"/>
                <w:rFonts w:ascii="Arial CYR" w:hAnsi="Arial CYR" w:cs="Arial CYR"/>
                <w:color w:val="000000"/>
                <w:sz w:val="20"/>
                <w:szCs w:val="20"/>
              </w:rPr>
              <w:footnoteReference w:id="2"/>
            </w:r>
            <w:r w:rsidR="00E502D7" w:rsidRPr="00454313">
              <w:rPr>
                <w:rFonts w:ascii="Arial CYR" w:hAnsi="Arial CYR" w:cs="Arial CYR"/>
                <w:color w:val="000000"/>
                <w:sz w:val="20"/>
                <w:szCs w:val="20"/>
              </w:rPr>
              <w:t>: ГОСТ Р ИСО 14155-1-2008 «Руководство по проведению клинических испытаний медицинских изделий»)</w:t>
            </w:r>
          </w:p>
          <w:p w:rsidR="0011603F" w:rsidRPr="00454313" w:rsidRDefault="0011603F" w:rsidP="00E502D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b/>
                <w:bCs/>
                <w:color w:val="000000"/>
                <w:sz w:val="20"/>
                <w:szCs w:val="20"/>
              </w:rPr>
              <w:t>EN</w:t>
            </w:r>
            <w:r w:rsidRPr="00454313">
              <w:rPr>
                <w:rFonts w:ascii="Arial CYR" w:hAnsi="Arial CYR" w:cs="Arial CYR"/>
                <w:color w:val="000000"/>
                <w:sz w:val="20"/>
                <w:szCs w:val="20"/>
              </w:rPr>
              <w:t xml:space="preserve"> Применение </w:t>
            </w:r>
            <w:r w:rsidRPr="00454313">
              <w:rPr>
                <w:rFonts w:ascii="Arial CYR" w:hAnsi="Arial CYR" w:cs="Arial CYR"/>
                <w:b/>
                <w:bCs/>
                <w:color w:val="000000"/>
                <w:sz w:val="20"/>
                <w:szCs w:val="20"/>
              </w:rPr>
              <w:t>ISO 14971:2009</w:t>
            </w:r>
            <w:r w:rsidRPr="00454313">
              <w:rPr>
                <w:rFonts w:ascii="Arial CYR" w:hAnsi="Arial CYR" w:cs="Arial CYR"/>
                <w:color w:val="000000"/>
                <w:sz w:val="20"/>
                <w:szCs w:val="20"/>
              </w:rPr>
              <w:t xml:space="preserve"> </w:t>
            </w:r>
            <w:r w:rsidR="00E502D7" w:rsidRPr="00454313">
              <w:rPr>
                <w:rFonts w:ascii="Arial CYR" w:hAnsi="Arial CYR" w:cs="Arial CYR"/>
                <w:color w:val="000000"/>
                <w:sz w:val="20"/>
                <w:szCs w:val="20"/>
              </w:rPr>
              <w:t xml:space="preserve">Управление </w:t>
            </w:r>
            <w:r w:rsidRPr="00454313">
              <w:rPr>
                <w:rFonts w:ascii="Arial CYR" w:hAnsi="Arial CYR" w:cs="Arial CYR"/>
                <w:color w:val="000000"/>
                <w:sz w:val="20"/>
                <w:szCs w:val="20"/>
              </w:rPr>
              <w:t xml:space="preserve">рисками </w:t>
            </w:r>
            <w:r w:rsidR="00D4583A">
              <w:rPr>
                <w:rFonts w:ascii="Arial CYR" w:hAnsi="Arial CYR" w:cs="Arial CYR"/>
                <w:color w:val="000000"/>
                <w:sz w:val="20"/>
                <w:szCs w:val="20"/>
              </w:rPr>
              <w:t>медицинских изделий</w:t>
            </w:r>
            <w:r w:rsidR="00E502D7" w:rsidRPr="00454313">
              <w:rPr>
                <w:rFonts w:ascii="Arial CYR" w:hAnsi="Arial CYR" w:cs="Arial CYR"/>
                <w:color w:val="000000"/>
                <w:sz w:val="20"/>
                <w:szCs w:val="20"/>
              </w:rPr>
              <w:t xml:space="preserve"> (см. также: ГОСТ ISO 14971-2011 «Изделия медицинские. Применение менеджмента риска к медицинским изделиям»)</w:t>
            </w:r>
          </w:p>
        </w:tc>
      </w:tr>
      <w:tr w:rsidR="00B85AB3" w:rsidRPr="00454313" w:rsidTr="00824CCA">
        <w:tc>
          <w:tcPr>
            <w:tcW w:w="14696" w:type="dxa"/>
            <w:gridSpan w:val="3"/>
            <w:shd w:val="clear" w:color="auto" w:fill="FBD4B4" w:themeFill="accent6" w:themeFillTint="66"/>
          </w:tcPr>
          <w:p w:rsidR="00B85AB3" w:rsidRPr="00454313" w:rsidRDefault="00B85AB3" w:rsidP="00874F99">
            <w:pPr>
              <w:widowControl w:val="0"/>
              <w:autoSpaceDE w:val="0"/>
              <w:autoSpaceDN w:val="0"/>
              <w:adjustRightInd w:val="0"/>
              <w:spacing w:after="0" w:line="240" w:lineRule="auto"/>
              <w:rPr>
                <w:rFonts w:ascii="Arial CYR" w:hAnsi="Arial CYR" w:cs="Arial CYR"/>
                <w:bCs/>
                <w:color w:val="000000"/>
                <w:sz w:val="20"/>
                <w:szCs w:val="20"/>
              </w:rPr>
            </w:pPr>
            <w:r w:rsidRPr="00454313">
              <w:rPr>
                <w:rFonts w:ascii="Arial CYR" w:hAnsi="Arial CYR" w:cs="Arial CYR"/>
                <w:bCs/>
                <w:color w:val="000000"/>
                <w:sz w:val="20"/>
                <w:szCs w:val="20"/>
              </w:rPr>
              <w:t>См. также</w:t>
            </w:r>
            <w:r w:rsidR="00874F99" w:rsidRPr="00454313">
              <w:rPr>
                <w:rFonts w:ascii="Arial CYR" w:hAnsi="Arial CYR" w:cs="Arial CYR"/>
                <w:bCs/>
                <w:color w:val="000000"/>
                <w:sz w:val="20"/>
                <w:szCs w:val="20"/>
                <w:vertAlign w:val="superscript"/>
              </w:rPr>
              <w:t>1</w:t>
            </w:r>
            <w:r w:rsidRPr="00454313">
              <w:rPr>
                <w:rFonts w:ascii="Arial CYR" w:hAnsi="Arial CYR" w:cs="Arial CYR"/>
                <w:bCs/>
                <w:color w:val="000000"/>
                <w:sz w:val="20"/>
                <w:szCs w:val="20"/>
              </w:rPr>
              <w:t>: Методические рекомендации Росздравнадзора по порядку проведения экспертизы качества, эффективности и безопасности медицинских изделий (для документов, поданных для регистрации после 01.01.2013) от 14 ноября 2013 года</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lang w:val="en-GB"/>
              </w:rPr>
            </w:pPr>
            <w:r w:rsidRPr="00454313">
              <w:rPr>
                <w:rFonts w:ascii="Cambria" w:hAnsi="Cambria" w:cs="Cambria"/>
                <w:b/>
                <w:bCs/>
                <w:color w:val="4F81BD"/>
                <w:sz w:val="26"/>
                <w:szCs w:val="26"/>
                <w:lang w:val="en-GB"/>
              </w:rPr>
              <w:t>Others:</w:t>
            </w:r>
          </w:p>
        </w:tc>
        <w:tc>
          <w:tcPr>
            <w:tcW w:w="8167"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4F81BD"/>
                <w:sz w:val="26"/>
                <w:szCs w:val="26"/>
              </w:rPr>
            </w:pPr>
            <w:r w:rsidRPr="00454313">
              <w:rPr>
                <w:rFonts w:ascii="Cambria" w:hAnsi="Cambria" w:cs="Cambria"/>
                <w:b/>
                <w:bCs/>
                <w:color w:val="4F81BD"/>
                <w:sz w:val="26"/>
                <w:szCs w:val="26"/>
              </w:rPr>
              <w:t>Другие:</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t>US Department of Health and Human Service, Agency for Healthcare Research and Quality:</w:t>
            </w:r>
          </w:p>
          <w:p w:rsidR="0011603F" w:rsidRPr="00454313" w:rsidRDefault="0011603F" w:rsidP="0011603F">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color w:val="000000"/>
                <w:sz w:val="20"/>
                <w:szCs w:val="20"/>
                <w:lang w:val="en-GB"/>
              </w:rPr>
              <w:t>Registries for Evaluating Patient Outcomes: a User’s Guide (Executive Summary, April 2007).</w:t>
            </w:r>
          </w:p>
        </w:tc>
        <w:tc>
          <w:tcPr>
            <w:tcW w:w="8167" w:type="dxa"/>
            <w:gridSpan w:val="2"/>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Американское Министерство здравоохранения и услу</w:t>
            </w:r>
            <w:r w:rsidR="00B65C7A" w:rsidRPr="00454313">
              <w:rPr>
                <w:rFonts w:ascii="Arial CYR" w:hAnsi="Arial CYR" w:cs="Arial CYR"/>
                <w:b/>
                <w:bCs/>
                <w:color w:val="000000"/>
                <w:sz w:val="20"/>
                <w:szCs w:val="20"/>
              </w:rPr>
              <w:t>г по уходу</w:t>
            </w:r>
            <w:r w:rsidRPr="00454313">
              <w:rPr>
                <w:rFonts w:ascii="Arial CYR" w:hAnsi="Arial CYR" w:cs="Arial CYR"/>
                <w:b/>
                <w:bCs/>
                <w:color w:val="000000"/>
                <w:sz w:val="20"/>
                <w:szCs w:val="20"/>
              </w:rPr>
              <w:t xml:space="preserve">, Агентство </w:t>
            </w:r>
            <w:r w:rsidR="00B65C7A" w:rsidRPr="00454313">
              <w:rPr>
                <w:rFonts w:ascii="Arial CYR" w:hAnsi="Arial CYR" w:cs="Arial CYR"/>
                <w:b/>
                <w:bCs/>
                <w:color w:val="000000"/>
                <w:sz w:val="20"/>
                <w:szCs w:val="20"/>
              </w:rPr>
              <w:t>по</w:t>
            </w:r>
            <w:r w:rsidRPr="00454313">
              <w:rPr>
                <w:rFonts w:ascii="Arial CYR" w:hAnsi="Arial CYR" w:cs="Arial CYR"/>
                <w:b/>
                <w:bCs/>
                <w:color w:val="000000"/>
                <w:sz w:val="20"/>
                <w:szCs w:val="20"/>
              </w:rPr>
              <w:t xml:space="preserve"> Исследовани</w:t>
            </w:r>
            <w:r w:rsidR="00B65C7A" w:rsidRPr="00454313">
              <w:rPr>
                <w:rFonts w:ascii="Arial CYR" w:hAnsi="Arial CYR" w:cs="Arial CYR"/>
                <w:b/>
                <w:bCs/>
                <w:color w:val="000000"/>
                <w:sz w:val="20"/>
                <w:szCs w:val="20"/>
              </w:rPr>
              <w:t>ю</w:t>
            </w:r>
            <w:r w:rsidRPr="00454313">
              <w:rPr>
                <w:rFonts w:ascii="Arial CYR" w:hAnsi="Arial CYR" w:cs="Arial CYR"/>
                <w:b/>
                <w:bCs/>
                <w:color w:val="000000"/>
                <w:sz w:val="20"/>
                <w:szCs w:val="20"/>
              </w:rPr>
              <w:t xml:space="preserve"> Здравоохранения и Качества:</w:t>
            </w:r>
          </w:p>
          <w:p w:rsidR="0011603F" w:rsidRPr="00454313" w:rsidRDefault="0011603F" w:rsidP="0011603F">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color w:val="000000"/>
                <w:sz w:val="20"/>
                <w:szCs w:val="20"/>
              </w:rPr>
              <w:t xml:space="preserve">Реестры для </w:t>
            </w:r>
            <w:r w:rsidR="00E502D7" w:rsidRPr="00454313">
              <w:rPr>
                <w:rFonts w:ascii="Arial CYR" w:hAnsi="Arial CYR" w:cs="Arial CYR"/>
                <w:color w:val="000000"/>
                <w:sz w:val="20"/>
                <w:szCs w:val="20"/>
              </w:rPr>
              <w:t xml:space="preserve">оценки состояния </w:t>
            </w:r>
            <w:r w:rsidRPr="00454313">
              <w:rPr>
                <w:rFonts w:ascii="Arial CYR" w:hAnsi="Arial CYR" w:cs="Arial CYR"/>
                <w:color w:val="000000"/>
                <w:sz w:val="20"/>
                <w:szCs w:val="20"/>
              </w:rPr>
              <w:t>пациента: Руководство пользователя (Резюме, апрель 2007).</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4. Definitions</w:t>
            </w:r>
          </w:p>
        </w:tc>
        <w:tc>
          <w:tcPr>
            <w:tcW w:w="8167" w:type="dxa"/>
            <w:gridSpan w:val="2"/>
          </w:tcPr>
          <w:p w:rsidR="0011603F" w:rsidRPr="00454313" w:rsidRDefault="0011603F">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4. Определения</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t>Clinical Data</w:t>
            </w:r>
            <w:r w:rsidR="00215A09" w:rsidRPr="00454313">
              <w:rPr>
                <w:rStyle w:val="a5"/>
                <w:rFonts w:ascii="Arial CYR" w:hAnsi="Arial CYR" w:cs="Arial CYR"/>
                <w:b/>
                <w:bCs/>
                <w:color w:val="000000"/>
                <w:sz w:val="20"/>
                <w:szCs w:val="20"/>
                <w:lang w:val="en-GB"/>
              </w:rPr>
              <w:footnoteReference w:id="3"/>
            </w:r>
            <w:r w:rsidRPr="00454313">
              <w:rPr>
                <w:rFonts w:ascii="Arial CYR" w:hAnsi="Arial CYR" w:cs="Arial CYR"/>
                <w:b/>
                <w:bCs/>
                <w:color w:val="000000"/>
                <w:sz w:val="20"/>
                <w:szCs w:val="20"/>
                <w:lang w:val="en-GB"/>
              </w:rPr>
              <w:t>:</w:t>
            </w:r>
          </w:p>
        </w:tc>
        <w:tc>
          <w:tcPr>
            <w:tcW w:w="8167" w:type="dxa"/>
            <w:gridSpan w:val="2"/>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Клинические Данные:</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safety and/or performance information that is generated from the use of a device.</w:t>
            </w:r>
          </w:p>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Clinical data are sourced from:</w:t>
            </w:r>
          </w:p>
          <w:p w:rsidR="0011603F" w:rsidRPr="00454313" w:rsidRDefault="0011603F" w:rsidP="00864F5D">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clinical investigation(s) of the device concerned; or</w:t>
            </w:r>
          </w:p>
          <w:p w:rsidR="0011603F" w:rsidRPr="00454313" w:rsidRDefault="0011603F" w:rsidP="00864F5D">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clinical investigation(s) or other studies reported in the scientific literature of a similar device for which equivalence to the device in question can be demonstrated; or</w:t>
            </w:r>
          </w:p>
          <w:p w:rsidR="0011603F" w:rsidRPr="00454313" w:rsidRDefault="0011603F" w:rsidP="00864F5D">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published and / or unpublished reports on other clinical experience of either the device in question or a similar device for which equivalence to the device in question can be demonstrated.</w:t>
            </w:r>
          </w:p>
        </w:tc>
        <w:tc>
          <w:tcPr>
            <w:tcW w:w="8167" w:type="dxa"/>
            <w:gridSpan w:val="2"/>
          </w:tcPr>
          <w:p w:rsidR="0011603F" w:rsidRPr="00454313" w:rsidRDefault="00D559E0" w:rsidP="00B85AB3">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Информация о б</w:t>
            </w:r>
            <w:r w:rsidR="0011603F" w:rsidRPr="00454313">
              <w:rPr>
                <w:rFonts w:ascii="Arial CYR" w:hAnsi="Arial CYR" w:cs="Arial CYR"/>
                <w:color w:val="000000"/>
                <w:sz w:val="20"/>
                <w:szCs w:val="20"/>
              </w:rPr>
              <w:t>езопасност</w:t>
            </w:r>
            <w:r w:rsidRPr="00454313">
              <w:rPr>
                <w:rFonts w:ascii="Arial CYR" w:hAnsi="Arial CYR" w:cs="Arial CYR"/>
                <w:color w:val="000000"/>
                <w:sz w:val="20"/>
                <w:szCs w:val="20"/>
              </w:rPr>
              <w:t>и</w:t>
            </w:r>
            <w:r w:rsidR="0011603F" w:rsidRPr="00454313">
              <w:rPr>
                <w:rFonts w:ascii="Arial CYR" w:hAnsi="Arial CYR" w:cs="Arial CYR"/>
                <w:color w:val="000000"/>
                <w:sz w:val="20"/>
                <w:szCs w:val="20"/>
              </w:rPr>
              <w:t xml:space="preserve"> и/или </w:t>
            </w:r>
            <w:r w:rsidR="00EB4BD2" w:rsidRPr="00454313">
              <w:rPr>
                <w:rFonts w:ascii="Arial CYR" w:hAnsi="Arial CYR" w:cs="Arial CYR"/>
                <w:color w:val="000000"/>
                <w:sz w:val="20"/>
                <w:szCs w:val="20"/>
              </w:rPr>
              <w:t xml:space="preserve">эксплуатационные </w:t>
            </w:r>
            <w:r w:rsidR="00744605" w:rsidRPr="00454313">
              <w:rPr>
                <w:rFonts w:ascii="Arial CYR" w:hAnsi="Arial CYR" w:cs="Arial CYR"/>
                <w:color w:val="000000"/>
                <w:sz w:val="20"/>
                <w:szCs w:val="20"/>
              </w:rPr>
              <w:t>характеристики</w:t>
            </w:r>
            <w:r w:rsidR="0011603F" w:rsidRPr="00454313">
              <w:rPr>
                <w:rFonts w:ascii="Arial CYR" w:hAnsi="Arial CYR" w:cs="Arial CYR"/>
                <w:color w:val="000000"/>
                <w:sz w:val="20"/>
                <w:szCs w:val="20"/>
              </w:rPr>
              <w:t>, котор</w:t>
            </w:r>
            <w:r w:rsidR="00EB4BD2" w:rsidRPr="00454313">
              <w:rPr>
                <w:rFonts w:ascii="Arial CYR" w:hAnsi="Arial CYR" w:cs="Arial CYR"/>
                <w:color w:val="000000"/>
                <w:sz w:val="20"/>
                <w:szCs w:val="20"/>
              </w:rPr>
              <w:t>ые</w:t>
            </w:r>
            <w:r w:rsidR="0011603F" w:rsidRPr="00454313">
              <w:rPr>
                <w:rFonts w:ascii="Arial CYR" w:hAnsi="Arial CYR" w:cs="Arial CYR"/>
                <w:color w:val="000000"/>
                <w:sz w:val="20"/>
                <w:szCs w:val="20"/>
              </w:rPr>
              <w:t xml:space="preserve"> </w:t>
            </w:r>
            <w:r w:rsidRPr="00454313">
              <w:rPr>
                <w:rFonts w:ascii="Arial CYR" w:hAnsi="Arial CYR" w:cs="Arial CYR"/>
                <w:color w:val="000000"/>
                <w:sz w:val="20"/>
                <w:szCs w:val="20"/>
              </w:rPr>
              <w:t>появля</w:t>
            </w:r>
            <w:r w:rsidR="00EB4BD2" w:rsidRPr="00454313">
              <w:rPr>
                <w:rFonts w:ascii="Arial CYR" w:hAnsi="Arial CYR" w:cs="Arial CYR"/>
                <w:color w:val="000000"/>
                <w:sz w:val="20"/>
                <w:szCs w:val="20"/>
              </w:rPr>
              <w:t>ю</w:t>
            </w:r>
            <w:r w:rsidRPr="00454313">
              <w:rPr>
                <w:rFonts w:ascii="Arial CYR" w:hAnsi="Arial CYR" w:cs="Arial CYR"/>
                <w:color w:val="000000"/>
                <w:sz w:val="20"/>
                <w:szCs w:val="20"/>
              </w:rPr>
              <w:t>тся при</w:t>
            </w:r>
            <w:r w:rsidR="0011603F" w:rsidRPr="00454313">
              <w:rPr>
                <w:rFonts w:ascii="Arial CYR" w:hAnsi="Arial CYR" w:cs="Arial CYR"/>
                <w:color w:val="000000"/>
                <w:sz w:val="20"/>
                <w:szCs w:val="20"/>
              </w:rPr>
              <w:t xml:space="preserve"> использовани</w:t>
            </w:r>
            <w:r w:rsidRPr="00454313">
              <w:rPr>
                <w:rFonts w:ascii="Arial CYR" w:hAnsi="Arial CYR" w:cs="Arial CYR"/>
                <w:color w:val="000000"/>
                <w:sz w:val="20"/>
                <w:szCs w:val="20"/>
              </w:rPr>
              <w:t xml:space="preserve">и </w:t>
            </w:r>
            <w:r w:rsidR="00D4583A">
              <w:rPr>
                <w:rFonts w:ascii="Arial CYR" w:hAnsi="Arial CYR" w:cs="Arial CYR"/>
                <w:color w:val="000000"/>
                <w:sz w:val="20"/>
                <w:szCs w:val="20"/>
              </w:rPr>
              <w:t>изделия</w:t>
            </w:r>
            <w:r w:rsidR="0011603F" w:rsidRPr="00454313">
              <w:rPr>
                <w:rFonts w:ascii="Arial CYR" w:hAnsi="Arial CYR" w:cs="Arial CYR"/>
                <w:color w:val="000000"/>
                <w:sz w:val="20"/>
                <w:szCs w:val="20"/>
              </w:rPr>
              <w:t>.</w:t>
            </w:r>
          </w:p>
          <w:p w:rsidR="0011603F" w:rsidRPr="00454313" w:rsidRDefault="0011603F" w:rsidP="00B85AB3">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Клинические данные получаются в результате поиска </w:t>
            </w:r>
            <w:r w:rsidR="004509D1" w:rsidRPr="00454313">
              <w:rPr>
                <w:rFonts w:ascii="Arial CYR" w:hAnsi="Arial CYR" w:cs="Arial CYR"/>
                <w:color w:val="000000"/>
                <w:sz w:val="20"/>
                <w:szCs w:val="20"/>
              </w:rPr>
              <w:t>среди</w:t>
            </w:r>
            <w:r w:rsidRPr="00454313">
              <w:rPr>
                <w:rFonts w:ascii="Arial CYR" w:hAnsi="Arial CYR" w:cs="Arial CYR"/>
                <w:color w:val="000000"/>
                <w:sz w:val="20"/>
                <w:szCs w:val="20"/>
              </w:rPr>
              <w:t>:</w:t>
            </w:r>
          </w:p>
          <w:p w:rsidR="0011603F" w:rsidRPr="00454313" w:rsidRDefault="0011603F" w:rsidP="00864F5D">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клиническ</w:t>
            </w:r>
            <w:r w:rsidR="00D559E0" w:rsidRPr="00454313">
              <w:rPr>
                <w:rFonts w:ascii="Arial CYR" w:hAnsi="Arial CYR" w:cs="Arial CYR"/>
                <w:sz w:val="20"/>
                <w:szCs w:val="20"/>
              </w:rPr>
              <w:t>их</w:t>
            </w:r>
            <w:r w:rsidRPr="00454313">
              <w:rPr>
                <w:rFonts w:ascii="Arial CYR" w:hAnsi="Arial CYR" w:cs="Arial CYR"/>
                <w:sz w:val="20"/>
                <w:szCs w:val="20"/>
              </w:rPr>
              <w:t xml:space="preserve"> исследовани</w:t>
            </w:r>
            <w:r w:rsidR="00D559E0" w:rsidRPr="00454313">
              <w:rPr>
                <w:rFonts w:ascii="Arial CYR" w:hAnsi="Arial CYR" w:cs="Arial CYR"/>
                <w:sz w:val="20"/>
                <w:szCs w:val="20"/>
              </w:rPr>
              <w:t>й</w:t>
            </w:r>
            <w:r w:rsidRPr="00454313">
              <w:rPr>
                <w:rFonts w:ascii="Arial CYR" w:hAnsi="Arial CYR" w:cs="Arial CYR"/>
                <w:sz w:val="20"/>
                <w:szCs w:val="20"/>
              </w:rPr>
              <w:t xml:space="preserve">(я) </w:t>
            </w:r>
            <w:r w:rsidR="00D559E0" w:rsidRPr="00454313">
              <w:rPr>
                <w:rFonts w:ascii="Arial CYR" w:hAnsi="Arial CYR" w:cs="Arial CYR"/>
                <w:sz w:val="20"/>
                <w:szCs w:val="20"/>
              </w:rPr>
              <w:t xml:space="preserve">данного </w:t>
            </w:r>
            <w:r w:rsidR="00D4583A">
              <w:rPr>
                <w:rFonts w:ascii="Arial CYR" w:hAnsi="Arial CYR" w:cs="Arial CYR"/>
                <w:sz w:val="20"/>
                <w:szCs w:val="20"/>
              </w:rPr>
              <w:t>изделия</w:t>
            </w:r>
            <w:r w:rsidRPr="00454313">
              <w:rPr>
                <w:rFonts w:ascii="Arial CYR" w:hAnsi="Arial CYR" w:cs="Arial CYR"/>
                <w:sz w:val="20"/>
                <w:szCs w:val="20"/>
              </w:rPr>
              <w:t>; или</w:t>
            </w:r>
          </w:p>
          <w:p w:rsidR="0011603F" w:rsidRPr="00454313" w:rsidRDefault="0011603F" w:rsidP="00AA15C3">
            <w:pPr>
              <w:pStyle w:val="a7"/>
              <w:widowControl w:val="0"/>
              <w:numPr>
                <w:ilvl w:val="0"/>
                <w:numId w:val="7"/>
              </w:numPr>
              <w:autoSpaceDE w:val="0"/>
              <w:autoSpaceDN w:val="0"/>
              <w:adjustRightInd w:val="0"/>
              <w:spacing w:after="0" w:line="240" w:lineRule="auto"/>
              <w:rPr>
                <w:rFonts w:ascii="Arial CYR" w:hAnsi="Arial CYR" w:cs="Arial CYR"/>
                <w:sz w:val="20"/>
                <w:szCs w:val="20"/>
              </w:rPr>
            </w:pPr>
            <w:r w:rsidRPr="00454313">
              <w:rPr>
                <w:rFonts w:ascii="Arial CYR" w:hAnsi="Arial CYR" w:cs="Arial CYR"/>
                <w:sz w:val="20"/>
                <w:szCs w:val="20"/>
              </w:rPr>
              <w:t>клиническ</w:t>
            </w:r>
            <w:r w:rsidR="00D559E0" w:rsidRPr="00454313">
              <w:rPr>
                <w:rFonts w:ascii="Arial CYR" w:hAnsi="Arial CYR" w:cs="Arial CYR"/>
                <w:sz w:val="20"/>
                <w:szCs w:val="20"/>
              </w:rPr>
              <w:t>их</w:t>
            </w:r>
            <w:r w:rsidRPr="00454313">
              <w:rPr>
                <w:rFonts w:ascii="Arial CYR" w:hAnsi="Arial CYR" w:cs="Arial CYR"/>
                <w:sz w:val="20"/>
                <w:szCs w:val="20"/>
              </w:rPr>
              <w:t xml:space="preserve"> исследовани</w:t>
            </w:r>
            <w:r w:rsidR="00D559E0" w:rsidRPr="00454313">
              <w:rPr>
                <w:rFonts w:ascii="Arial CYR" w:hAnsi="Arial CYR" w:cs="Arial CYR"/>
                <w:sz w:val="20"/>
                <w:szCs w:val="20"/>
              </w:rPr>
              <w:t>й</w:t>
            </w:r>
            <w:r w:rsidRPr="00454313">
              <w:rPr>
                <w:rFonts w:ascii="Arial CYR" w:hAnsi="Arial CYR" w:cs="Arial CYR"/>
                <w:sz w:val="20"/>
                <w:szCs w:val="20"/>
              </w:rPr>
              <w:t>(я) или друг</w:t>
            </w:r>
            <w:r w:rsidR="00D559E0" w:rsidRPr="00454313">
              <w:rPr>
                <w:rFonts w:ascii="Arial CYR" w:hAnsi="Arial CYR" w:cs="Arial CYR"/>
                <w:sz w:val="20"/>
                <w:szCs w:val="20"/>
              </w:rPr>
              <w:t>ой исследовательской информации</w:t>
            </w:r>
            <w:r w:rsidRPr="00454313">
              <w:rPr>
                <w:rFonts w:ascii="Arial CYR" w:hAnsi="Arial CYR" w:cs="Arial CYR"/>
                <w:sz w:val="20"/>
                <w:szCs w:val="20"/>
              </w:rPr>
              <w:t xml:space="preserve"> </w:t>
            </w:r>
            <w:r w:rsidR="004A3E09" w:rsidRPr="00454313">
              <w:rPr>
                <w:rFonts w:ascii="Arial CYR" w:hAnsi="Arial CYR" w:cs="Arial CYR"/>
                <w:sz w:val="20"/>
                <w:szCs w:val="20"/>
              </w:rPr>
              <w:t>в научной литературе,</w:t>
            </w:r>
            <w:r w:rsidRPr="00454313">
              <w:rPr>
                <w:rFonts w:ascii="Arial CYR" w:hAnsi="Arial CYR" w:cs="Arial CYR"/>
                <w:sz w:val="20"/>
                <w:szCs w:val="20"/>
              </w:rPr>
              <w:t xml:space="preserve"> </w:t>
            </w:r>
            <w:r w:rsidR="00D559E0" w:rsidRPr="00454313">
              <w:rPr>
                <w:rFonts w:ascii="Arial CYR" w:hAnsi="Arial CYR" w:cs="Arial CYR"/>
                <w:sz w:val="20"/>
                <w:szCs w:val="20"/>
              </w:rPr>
              <w:t xml:space="preserve">описывающей </w:t>
            </w:r>
            <w:r w:rsidRPr="00454313">
              <w:rPr>
                <w:rFonts w:ascii="Arial CYR" w:hAnsi="Arial CYR" w:cs="Arial CYR"/>
                <w:sz w:val="20"/>
                <w:szCs w:val="20"/>
              </w:rPr>
              <w:t>подобн</w:t>
            </w:r>
            <w:r w:rsidR="00D559E0" w:rsidRPr="00454313">
              <w:rPr>
                <w:rFonts w:ascii="Arial CYR" w:hAnsi="Arial CYR" w:cs="Arial CYR"/>
                <w:sz w:val="20"/>
                <w:szCs w:val="20"/>
              </w:rPr>
              <w:t>ые</w:t>
            </w:r>
            <w:r w:rsidRPr="00454313">
              <w:rPr>
                <w:rFonts w:ascii="Arial CYR" w:hAnsi="Arial CYR" w:cs="Arial CYR"/>
                <w:sz w:val="20"/>
                <w:szCs w:val="20"/>
              </w:rPr>
              <w:t xml:space="preserve"> </w:t>
            </w:r>
            <w:r w:rsidR="00D4583A">
              <w:rPr>
                <w:rFonts w:ascii="Arial CYR" w:hAnsi="Arial CYR" w:cs="Arial CYR"/>
                <w:sz w:val="20"/>
                <w:szCs w:val="20"/>
              </w:rPr>
              <w:t>изделия</w:t>
            </w:r>
            <w:r w:rsidRPr="00454313">
              <w:rPr>
                <w:rFonts w:ascii="Arial CYR" w:hAnsi="Arial CYR" w:cs="Arial CYR"/>
                <w:sz w:val="20"/>
                <w:szCs w:val="20"/>
              </w:rPr>
              <w:t>, для котор</w:t>
            </w:r>
            <w:r w:rsidR="00D559E0" w:rsidRPr="00454313">
              <w:rPr>
                <w:rFonts w:ascii="Arial CYR" w:hAnsi="Arial CYR" w:cs="Arial CYR"/>
                <w:sz w:val="20"/>
                <w:szCs w:val="20"/>
              </w:rPr>
              <w:t>ых</w:t>
            </w:r>
            <w:r w:rsidRPr="00454313">
              <w:rPr>
                <w:rFonts w:ascii="Arial CYR" w:hAnsi="Arial CYR" w:cs="Arial CYR"/>
                <w:sz w:val="20"/>
                <w:szCs w:val="20"/>
              </w:rPr>
              <w:t xml:space="preserve"> может быть продемонстрирована эквивалентность рассматриваемому </w:t>
            </w:r>
            <w:r w:rsidR="00AA15C3" w:rsidRPr="00AA15C3">
              <w:rPr>
                <w:rFonts w:ascii="Arial CYR" w:hAnsi="Arial CYR" w:cs="Arial CYR"/>
                <w:sz w:val="20"/>
                <w:szCs w:val="20"/>
              </w:rPr>
              <w:t>издели</w:t>
            </w:r>
            <w:r w:rsidR="00AA15C3">
              <w:rPr>
                <w:rFonts w:ascii="Arial CYR" w:hAnsi="Arial CYR" w:cs="Arial CYR"/>
                <w:sz w:val="20"/>
                <w:szCs w:val="20"/>
              </w:rPr>
              <w:t>ю</w:t>
            </w:r>
            <w:r w:rsidRPr="00454313">
              <w:rPr>
                <w:rFonts w:ascii="Arial CYR" w:hAnsi="Arial CYR" w:cs="Arial CYR"/>
                <w:sz w:val="20"/>
                <w:szCs w:val="20"/>
              </w:rPr>
              <w:t>; или</w:t>
            </w:r>
          </w:p>
          <w:p w:rsidR="0011603F" w:rsidRPr="00454313" w:rsidRDefault="0011603F" w:rsidP="00AA15C3">
            <w:pPr>
              <w:pStyle w:val="a7"/>
              <w:widowControl w:val="0"/>
              <w:numPr>
                <w:ilvl w:val="0"/>
                <w:numId w:val="7"/>
              </w:numPr>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sz w:val="20"/>
                <w:szCs w:val="20"/>
              </w:rPr>
              <w:t>опубликованны</w:t>
            </w:r>
            <w:r w:rsidR="00D559E0" w:rsidRPr="00454313">
              <w:rPr>
                <w:rFonts w:ascii="Arial CYR" w:hAnsi="Arial CYR" w:cs="Arial CYR"/>
                <w:sz w:val="20"/>
                <w:szCs w:val="20"/>
              </w:rPr>
              <w:t>е</w:t>
            </w:r>
            <w:r w:rsidRPr="00454313">
              <w:rPr>
                <w:rFonts w:ascii="Arial CYR" w:hAnsi="Arial CYR" w:cs="Arial CYR"/>
                <w:sz w:val="20"/>
                <w:szCs w:val="20"/>
              </w:rPr>
              <w:t xml:space="preserve"> и/или неопубликованные </w:t>
            </w:r>
            <w:r w:rsidR="00D559E0" w:rsidRPr="00454313">
              <w:rPr>
                <w:rFonts w:ascii="Arial CYR" w:hAnsi="Arial CYR" w:cs="Arial CYR"/>
                <w:sz w:val="20"/>
                <w:szCs w:val="20"/>
              </w:rPr>
              <w:t>отчёты</w:t>
            </w:r>
            <w:r w:rsidRPr="00454313">
              <w:rPr>
                <w:rFonts w:ascii="Arial CYR" w:hAnsi="Arial CYR" w:cs="Arial CYR"/>
                <w:sz w:val="20"/>
                <w:szCs w:val="20"/>
              </w:rPr>
              <w:t xml:space="preserve"> о другом клиническом опыте </w:t>
            </w:r>
            <w:r w:rsidR="00D559E0" w:rsidRPr="00454313">
              <w:rPr>
                <w:rFonts w:ascii="Arial CYR" w:hAnsi="Arial CYR" w:cs="Arial CYR"/>
                <w:sz w:val="20"/>
                <w:szCs w:val="20"/>
              </w:rPr>
              <w:t>некоторых</w:t>
            </w:r>
            <w:r w:rsidRPr="00454313">
              <w:rPr>
                <w:rFonts w:ascii="Arial CYR" w:hAnsi="Arial CYR" w:cs="Arial CYR"/>
                <w:sz w:val="20"/>
                <w:szCs w:val="20"/>
              </w:rPr>
              <w:t xml:space="preserve"> или подобн</w:t>
            </w:r>
            <w:r w:rsidR="00D559E0" w:rsidRPr="00454313">
              <w:rPr>
                <w:rFonts w:ascii="Arial CYR" w:hAnsi="Arial CYR" w:cs="Arial CYR"/>
                <w:sz w:val="20"/>
                <w:szCs w:val="20"/>
              </w:rPr>
              <w:t>ых</w:t>
            </w:r>
            <w:r w:rsidRPr="00454313">
              <w:rPr>
                <w:rFonts w:ascii="Arial CYR" w:hAnsi="Arial CYR" w:cs="Arial CYR"/>
                <w:sz w:val="20"/>
                <w:szCs w:val="20"/>
              </w:rPr>
              <w:t xml:space="preserve"> </w:t>
            </w:r>
            <w:r w:rsidR="00AA15C3">
              <w:rPr>
                <w:rFonts w:ascii="Arial CYR" w:hAnsi="Arial CYR" w:cs="Arial CYR"/>
                <w:sz w:val="20"/>
                <w:szCs w:val="20"/>
              </w:rPr>
              <w:t>изделий</w:t>
            </w:r>
            <w:r w:rsidRPr="00454313">
              <w:rPr>
                <w:rFonts w:ascii="Arial CYR" w:hAnsi="Arial CYR" w:cs="Arial CYR"/>
                <w:sz w:val="20"/>
                <w:szCs w:val="20"/>
              </w:rPr>
              <w:t>, для котор</w:t>
            </w:r>
            <w:r w:rsidR="00D559E0" w:rsidRPr="00454313">
              <w:rPr>
                <w:rFonts w:ascii="Arial CYR" w:hAnsi="Arial CYR" w:cs="Arial CYR"/>
                <w:sz w:val="20"/>
                <w:szCs w:val="20"/>
              </w:rPr>
              <w:t>ых</w:t>
            </w:r>
            <w:r w:rsidRPr="00454313">
              <w:rPr>
                <w:rFonts w:ascii="Arial CYR" w:hAnsi="Arial CYR" w:cs="Arial CYR"/>
                <w:sz w:val="20"/>
                <w:szCs w:val="20"/>
              </w:rPr>
              <w:t xml:space="preserve"> может быть продемонстрирована эквивалентность рассматриваемому </w:t>
            </w:r>
            <w:r w:rsidR="00AA15C3" w:rsidRPr="00AA15C3">
              <w:rPr>
                <w:rFonts w:ascii="Arial CYR" w:hAnsi="Arial CYR" w:cs="Arial CYR"/>
                <w:sz w:val="20"/>
                <w:szCs w:val="20"/>
              </w:rPr>
              <w:t>издели</w:t>
            </w:r>
            <w:r w:rsidR="00AA15C3">
              <w:rPr>
                <w:rFonts w:ascii="Arial CYR" w:hAnsi="Arial CYR" w:cs="Arial CYR"/>
                <w:sz w:val="20"/>
                <w:szCs w:val="20"/>
              </w:rPr>
              <w:t>ю</w:t>
            </w:r>
            <w:bookmarkStart w:id="0" w:name="_GoBack"/>
            <w:bookmarkEnd w:id="0"/>
            <w:r w:rsidRPr="00454313">
              <w:rPr>
                <w:rFonts w:ascii="Arial CYR" w:hAnsi="Arial CYR" w:cs="Arial CYR"/>
                <w:sz w:val="20"/>
                <w:szCs w:val="20"/>
              </w:rPr>
              <w:t>.</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t>Clinical Evaluation</w:t>
            </w:r>
            <w:r w:rsidR="00D6033B" w:rsidRPr="00454313">
              <w:rPr>
                <w:rStyle w:val="a5"/>
                <w:rFonts w:ascii="Arial CYR" w:hAnsi="Arial CYR" w:cs="Arial CYR"/>
                <w:b/>
                <w:bCs/>
                <w:color w:val="000000"/>
                <w:sz w:val="20"/>
                <w:szCs w:val="20"/>
                <w:lang w:val="en-GB"/>
              </w:rPr>
              <w:footnoteReference w:id="4"/>
            </w:r>
            <w:r w:rsidRPr="00454313">
              <w:rPr>
                <w:rFonts w:ascii="Arial CYR" w:hAnsi="Arial CYR" w:cs="Arial CYR"/>
                <w:b/>
                <w:bCs/>
                <w:color w:val="000000"/>
                <w:sz w:val="20"/>
                <w:szCs w:val="20"/>
                <w:lang w:val="en-GB"/>
              </w:rPr>
              <w:t>:</w:t>
            </w:r>
          </w:p>
        </w:tc>
        <w:tc>
          <w:tcPr>
            <w:tcW w:w="8167" w:type="dxa"/>
            <w:gridSpan w:val="2"/>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Клиническая Оценка:</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assessment and analysis of clinical data pertaining to a medical device to verify the clinical safety and performance of the device when used as intended by the manufacturer.</w:t>
            </w:r>
          </w:p>
        </w:tc>
        <w:tc>
          <w:tcPr>
            <w:tcW w:w="8167" w:type="dxa"/>
            <w:gridSpan w:val="2"/>
          </w:tcPr>
          <w:p w:rsidR="0011603F" w:rsidRPr="00454313" w:rsidRDefault="0011603F" w:rsidP="00AA15C3">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Исследование и анализ клинических данных, имеющих отношение к </w:t>
            </w:r>
            <w:r w:rsidR="00AA15C3">
              <w:rPr>
                <w:rFonts w:ascii="Arial CYR" w:hAnsi="Arial CYR" w:cs="Arial CYR"/>
                <w:color w:val="000000"/>
                <w:sz w:val="20"/>
                <w:szCs w:val="20"/>
              </w:rPr>
              <w:t>МИ</w:t>
            </w:r>
            <w:r w:rsidRPr="00454313">
              <w:rPr>
                <w:rFonts w:ascii="Arial CYR" w:hAnsi="Arial CYR" w:cs="Arial CYR"/>
                <w:color w:val="000000"/>
                <w:sz w:val="20"/>
                <w:szCs w:val="20"/>
              </w:rPr>
              <w:t xml:space="preserve">, чтобы верифицировать клиническую безопасность и </w:t>
            </w:r>
            <w:r w:rsidR="004A3E09" w:rsidRPr="00454313">
              <w:rPr>
                <w:rFonts w:ascii="Arial CYR" w:hAnsi="Arial CYR" w:cs="Arial CYR"/>
                <w:color w:val="000000"/>
                <w:sz w:val="20"/>
                <w:szCs w:val="20"/>
              </w:rPr>
              <w:t xml:space="preserve">эксплуатационные характеристики </w:t>
            </w:r>
            <w:r w:rsidR="00D4583A">
              <w:rPr>
                <w:rFonts w:ascii="Arial CYR" w:hAnsi="Arial CYR" w:cs="Arial CYR"/>
                <w:color w:val="000000"/>
                <w:sz w:val="20"/>
                <w:szCs w:val="20"/>
              </w:rPr>
              <w:t>изделия</w:t>
            </w:r>
            <w:r w:rsidR="004A3E09" w:rsidRPr="00454313">
              <w:rPr>
                <w:rFonts w:ascii="Arial CYR" w:hAnsi="Arial CYR" w:cs="Arial CYR"/>
                <w:color w:val="000000"/>
                <w:sz w:val="20"/>
                <w:szCs w:val="20"/>
              </w:rPr>
              <w:t>,</w:t>
            </w:r>
            <w:r w:rsidRPr="00454313">
              <w:rPr>
                <w:rFonts w:ascii="Arial CYR" w:hAnsi="Arial CYR" w:cs="Arial CYR"/>
                <w:color w:val="000000"/>
                <w:sz w:val="20"/>
                <w:szCs w:val="20"/>
              </w:rPr>
              <w:t xml:space="preserve"> </w:t>
            </w:r>
            <w:r w:rsidR="00B85AB3" w:rsidRPr="00454313">
              <w:rPr>
                <w:rFonts w:ascii="Arial CYR" w:hAnsi="Arial CYR" w:cs="Arial CYR"/>
                <w:color w:val="000000"/>
                <w:sz w:val="20"/>
                <w:szCs w:val="20"/>
              </w:rPr>
              <w:t>которое</w:t>
            </w:r>
            <w:r w:rsidRPr="00454313">
              <w:rPr>
                <w:rFonts w:ascii="Arial CYR" w:hAnsi="Arial CYR" w:cs="Arial CYR"/>
                <w:color w:val="000000"/>
                <w:sz w:val="20"/>
                <w:szCs w:val="20"/>
              </w:rPr>
              <w:t xml:space="preserve"> использу</w:t>
            </w:r>
            <w:r w:rsidR="00B85AB3" w:rsidRPr="00454313">
              <w:rPr>
                <w:rFonts w:ascii="Arial CYR" w:hAnsi="Arial CYR" w:cs="Arial CYR"/>
                <w:color w:val="000000"/>
                <w:sz w:val="20"/>
                <w:szCs w:val="20"/>
              </w:rPr>
              <w:t>ется</w:t>
            </w:r>
            <w:r w:rsidRPr="00454313">
              <w:rPr>
                <w:rFonts w:ascii="Arial CYR" w:hAnsi="Arial CYR" w:cs="Arial CYR"/>
                <w:color w:val="000000"/>
                <w:sz w:val="20"/>
                <w:szCs w:val="20"/>
              </w:rPr>
              <w:t xml:space="preserve"> как предназначено производителем.</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t>Clinical Evidence</w:t>
            </w:r>
            <w:r w:rsidR="00D6033B" w:rsidRPr="00454313">
              <w:rPr>
                <w:rFonts w:ascii="Arial CYR" w:hAnsi="Arial CYR" w:cs="Arial CYR"/>
                <w:b/>
                <w:bCs/>
                <w:color w:val="000000"/>
                <w:sz w:val="20"/>
                <w:szCs w:val="20"/>
                <w:vertAlign w:val="superscript"/>
                <w:lang w:val="en-GB"/>
              </w:rPr>
              <w:t>3</w:t>
            </w:r>
            <w:r w:rsidRPr="00454313">
              <w:rPr>
                <w:rFonts w:ascii="Arial CYR" w:hAnsi="Arial CYR" w:cs="Arial CYR"/>
                <w:b/>
                <w:bCs/>
                <w:color w:val="000000"/>
                <w:sz w:val="20"/>
                <w:szCs w:val="20"/>
                <w:lang w:val="en-GB"/>
              </w:rPr>
              <w:t>:</w:t>
            </w:r>
          </w:p>
          <w:p w:rsidR="0011603F" w:rsidRPr="00454313" w:rsidRDefault="0011603F" w:rsidP="0011603F">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color w:val="000000"/>
                <w:sz w:val="20"/>
                <w:szCs w:val="20"/>
                <w:lang w:val="en-GB"/>
              </w:rPr>
              <w:t>The clinical data and the clinical evaluation report pertaining to a medical device.</w:t>
            </w:r>
          </w:p>
        </w:tc>
        <w:tc>
          <w:tcPr>
            <w:tcW w:w="8167" w:type="dxa"/>
            <w:gridSpan w:val="2"/>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 xml:space="preserve">Клинический </w:t>
            </w:r>
            <w:r w:rsidR="004509D1" w:rsidRPr="00454313">
              <w:rPr>
                <w:rFonts w:ascii="Arial CYR" w:hAnsi="Arial CYR" w:cs="Arial CYR"/>
                <w:b/>
                <w:bCs/>
                <w:color w:val="000000"/>
                <w:sz w:val="20"/>
                <w:szCs w:val="20"/>
              </w:rPr>
              <w:t>свидетельства</w:t>
            </w:r>
            <w:r w:rsidR="004509D1" w:rsidRPr="00454313">
              <w:rPr>
                <w:rFonts w:ascii="Arial CYR" w:hAnsi="Arial CYR" w:cs="Arial CYR"/>
                <w:b/>
                <w:bCs/>
                <w:color w:val="000000"/>
                <w:sz w:val="20"/>
                <w:szCs w:val="20"/>
                <w:vertAlign w:val="superscript"/>
              </w:rPr>
              <w:t>2</w:t>
            </w:r>
            <w:r w:rsidRPr="00454313">
              <w:rPr>
                <w:rFonts w:ascii="Arial CYR" w:hAnsi="Arial CYR" w:cs="Arial CYR"/>
                <w:b/>
                <w:bCs/>
                <w:color w:val="000000"/>
                <w:sz w:val="20"/>
                <w:szCs w:val="20"/>
              </w:rPr>
              <w:t>:</w:t>
            </w:r>
          </w:p>
          <w:p w:rsidR="0011603F" w:rsidRPr="00454313" w:rsidRDefault="0011603F" w:rsidP="00D4583A">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color w:val="000000"/>
                <w:sz w:val="20"/>
                <w:szCs w:val="20"/>
              </w:rPr>
              <w:t>Клинические данные и клинически</w:t>
            </w:r>
            <w:r w:rsidR="004509D1" w:rsidRPr="00454313">
              <w:rPr>
                <w:rFonts w:ascii="Arial CYR" w:hAnsi="Arial CYR" w:cs="Arial CYR"/>
                <w:color w:val="000000"/>
                <w:sz w:val="20"/>
                <w:szCs w:val="20"/>
              </w:rPr>
              <w:t>е</w:t>
            </w:r>
            <w:r w:rsidRPr="00454313">
              <w:rPr>
                <w:rFonts w:ascii="Arial CYR" w:hAnsi="Arial CYR" w:cs="Arial CYR"/>
                <w:color w:val="000000"/>
                <w:sz w:val="20"/>
                <w:szCs w:val="20"/>
              </w:rPr>
              <w:t xml:space="preserve"> </w:t>
            </w:r>
            <w:r w:rsidR="004509D1" w:rsidRPr="00454313">
              <w:rPr>
                <w:rFonts w:ascii="Arial CYR" w:hAnsi="Arial CYR" w:cs="Arial CYR"/>
                <w:color w:val="000000"/>
                <w:sz w:val="20"/>
                <w:szCs w:val="20"/>
              </w:rPr>
              <w:t>отчёты</w:t>
            </w:r>
            <w:r w:rsidRPr="00454313">
              <w:rPr>
                <w:rFonts w:ascii="Arial CYR" w:hAnsi="Arial CYR" w:cs="Arial CYR"/>
                <w:color w:val="000000"/>
                <w:sz w:val="20"/>
                <w:szCs w:val="20"/>
              </w:rPr>
              <w:t>, имеющи</w:t>
            </w:r>
            <w:r w:rsidR="004509D1" w:rsidRPr="00454313">
              <w:rPr>
                <w:rFonts w:ascii="Arial CYR" w:hAnsi="Arial CYR" w:cs="Arial CYR"/>
                <w:color w:val="000000"/>
                <w:sz w:val="20"/>
                <w:szCs w:val="20"/>
              </w:rPr>
              <w:t>е</w:t>
            </w:r>
            <w:r w:rsidRPr="00454313">
              <w:rPr>
                <w:rFonts w:ascii="Arial CYR" w:hAnsi="Arial CYR" w:cs="Arial CYR"/>
                <w:color w:val="000000"/>
                <w:sz w:val="20"/>
                <w:szCs w:val="20"/>
              </w:rPr>
              <w:t xml:space="preserve"> отношение к</w:t>
            </w:r>
            <w:r w:rsidR="00D4583A">
              <w:rPr>
                <w:rFonts w:ascii="Arial CYR" w:hAnsi="Arial CYR" w:cs="Arial CYR"/>
                <w:color w:val="000000"/>
                <w:sz w:val="20"/>
                <w:szCs w:val="20"/>
              </w:rPr>
              <w:t xml:space="preserve"> МИ</w:t>
            </w:r>
            <w:r w:rsidRPr="00454313">
              <w:rPr>
                <w:rFonts w:ascii="Arial CYR" w:hAnsi="Arial CYR" w:cs="Arial CYR"/>
                <w:color w:val="000000"/>
                <w:sz w:val="20"/>
                <w:szCs w:val="20"/>
              </w:rPr>
              <w:t>.</w:t>
            </w:r>
          </w:p>
        </w:tc>
      </w:tr>
      <w:tr w:rsidR="0011603F" w:rsidRPr="00454313" w:rsidTr="00824CCA">
        <w:tc>
          <w:tcPr>
            <w:tcW w:w="6529" w:type="dxa"/>
          </w:tcPr>
          <w:p w:rsidR="0011603F" w:rsidRPr="00454313" w:rsidRDefault="0011603F" w:rsidP="00D6033B">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t>Clinical Investigation</w:t>
            </w:r>
            <w:r w:rsidR="00D6033B" w:rsidRPr="00454313">
              <w:rPr>
                <w:rFonts w:ascii="Arial CYR" w:hAnsi="Arial CYR" w:cs="Arial CYR"/>
                <w:b/>
                <w:bCs/>
                <w:color w:val="000000"/>
                <w:sz w:val="20"/>
                <w:szCs w:val="20"/>
                <w:vertAlign w:val="superscript"/>
                <w:lang w:val="en-GB"/>
              </w:rPr>
              <w:t>3</w:t>
            </w:r>
            <w:r w:rsidRPr="00454313">
              <w:rPr>
                <w:rFonts w:ascii="Arial CYR" w:hAnsi="Arial CYR" w:cs="Arial CYR"/>
                <w:b/>
                <w:bCs/>
                <w:color w:val="000000"/>
                <w:sz w:val="20"/>
                <w:szCs w:val="20"/>
                <w:lang w:val="en-GB"/>
              </w:rPr>
              <w:t>:</w:t>
            </w:r>
          </w:p>
        </w:tc>
        <w:tc>
          <w:tcPr>
            <w:tcW w:w="8167" w:type="dxa"/>
            <w:gridSpan w:val="2"/>
          </w:tcPr>
          <w:p w:rsidR="0011603F" w:rsidRPr="00454313" w:rsidRDefault="004509D1" w:rsidP="004509D1">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Клинические исследования</w:t>
            </w:r>
            <w:r w:rsidR="0011603F" w:rsidRPr="00454313">
              <w:rPr>
                <w:rFonts w:ascii="Arial CYR" w:hAnsi="Arial CYR" w:cs="Arial CYR"/>
                <w:b/>
                <w:bCs/>
                <w:color w:val="000000"/>
                <w:sz w:val="20"/>
                <w:szCs w:val="20"/>
                <w:vertAlign w:val="superscript"/>
              </w:rPr>
              <w:t>2</w:t>
            </w:r>
            <w:r w:rsidR="0011603F" w:rsidRPr="00454313">
              <w:rPr>
                <w:rFonts w:ascii="Arial CYR" w:hAnsi="Arial CYR" w:cs="Arial CYR"/>
                <w:b/>
                <w:bCs/>
                <w:color w:val="000000"/>
                <w:sz w:val="20"/>
                <w:szCs w:val="20"/>
              </w:rPr>
              <w:t>:</w:t>
            </w:r>
          </w:p>
        </w:tc>
      </w:tr>
      <w:tr w:rsidR="0011603F" w:rsidRPr="00454313" w:rsidTr="00824CCA">
        <w:tc>
          <w:tcPr>
            <w:tcW w:w="6529" w:type="dxa"/>
          </w:tcPr>
          <w:p w:rsidR="00B85AB3" w:rsidRPr="00454313" w:rsidRDefault="0011603F" w:rsidP="00B85AB3">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Any systematic investigation or study in or on one or more human subjects, undertaken to assess the safety or performance of a medical device.</w:t>
            </w:r>
          </w:p>
        </w:tc>
        <w:tc>
          <w:tcPr>
            <w:tcW w:w="8167" w:type="dxa"/>
            <w:gridSpan w:val="2"/>
          </w:tcPr>
          <w:p w:rsidR="0011603F" w:rsidRPr="00454313" w:rsidRDefault="0011603F" w:rsidP="00D4583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Любое систематическое исследование или исследование в или на одном или более челове</w:t>
            </w:r>
            <w:r w:rsidR="00B85AB3" w:rsidRPr="00454313">
              <w:rPr>
                <w:rFonts w:ascii="Arial CYR" w:hAnsi="Arial CYR" w:cs="Arial CYR"/>
                <w:color w:val="000000"/>
                <w:sz w:val="20"/>
                <w:szCs w:val="20"/>
              </w:rPr>
              <w:t>к</w:t>
            </w:r>
            <w:r w:rsidRPr="00454313">
              <w:rPr>
                <w:rFonts w:ascii="Arial CYR" w:hAnsi="Arial CYR" w:cs="Arial CYR"/>
                <w:color w:val="000000"/>
                <w:sz w:val="20"/>
                <w:szCs w:val="20"/>
              </w:rPr>
              <w:t xml:space="preserve">ах, </w:t>
            </w:r>
            <w:r w:rsidR="00B85AB3" w:rsidRPr="00454313">
              <w:rPr>
                <w:rFonts w:ascii="Arial CYR" w:hAnsi="Arial CYR" w:cs="Arial CYR"/>
                <w:color w:val="000000"/>
                <w:sz w:val="20"/>
                <w:szCs w:val="20"/>
              </w:rPr>
              <w:t>проведённых для</w:t>
            </w:r>
            <w:r w:rsidRPr="00454313">
              <w:rPr>
                <w:rFonts w:ascii="Arial CYR" w:hAnsi="Arial CYR" w:cs="Arial CYR"/>
                <w:color w:val="000000"/>
                <w:sz w:val="20"/>
                <w:szCs w:val="20"/>
              </w:rPr>
              <w:t xml:space="preserve"> оцен</w:t>
            </w:r>
            <w:r w:rsidR="00B85AB3" w:rsidRPr="00454313">
              <w:rPr>
                <w:rFonts w:ascii="Arial CYR" w:hAnsi="Arial CYR" w:cs="Arial CYR"/>
                <w:color w:val="000000"/>
                <w:sz w:val="20"/>
                <w:szCs w:val="20"/>
              </w:rPr>
              <w:t>к</w:t>
            </w:r>
            <w:r w:rsidRPr="00454313">
              <w:rPr>
                <w:rFonts w:ascii="Arial CYR" w:hAnsi="Arial CYR" w:cs="Arial CYR"/>
                <w:color w:val="000000"/>
                <w:sz w:val="20"/>
                <w:szCs w:val="20"/>
              </w:rPr>
              <w:t>и безопасност</w:t>
            </w:r>
            <w:r w:rsidR="00B85AB3" w:rsidRPr="00454313">
              <w:rPr>
                <w:rFonts w:ascii="Arial CYR" w:hAnsi="Arial CYR" w:cs="Arial CYR"/>
                <w:color w:val="000000"/>
                <w:sz w:val="20"/>
                <w:szCs w:val="20"/>
              </w:rPr>
              <w:t>и</w:t>
            </w:r>
            <w:r w:rsidRPr="00454313">
              <w:rPr>
                <w:rFonts w:ascii="Arial CYR" w:hAnsi="Arial CYR" w:cs="Arial CYR"/>
                <w:color w:val="000000"/>
                <w:sz w:val="20"/>
                <w:szCs w:val="20"/>
              </w:rPr>
              <w:t xml:space="preserve"> или </w:t>
            </w:r>
            <w:r w:rsidR="00744605" w:rsidRPr="00454313">
              <w:rPr>
                <w:rFonts w:ascii="Arial CYR" w:hAnsi="Arial CYR" w:cs="Arial CYR"/>
                <w:color w:val="000000"/>
                <w:sz w:val="20"/>
                <w:szCs w:val="20"/>
              </w:rPr>
              <w:t>эксплуатационны</w:t>
            </w:r>
            <w:r w:rsidR="00B85AB3" w:rsidRPr="00454313">
              <w:rPr>
                <w:rFonts w:ascii="Arial CYR" w:hAnsi="Arial CYR" w:cs="Arial CYR"/>
                <w:color w:val="000000"/>
                <w:sz w:val="20"/>
                <w:szCs w:val="20"/>
              </w:rPr>
              <w:t>х</w:t>
            </w:r>
            <w:r w:rsidR="00744605" w:rsidRPr="00454313">
              <w:rPr>
                <w:rFonts w:ascii="Arial CYR" w:hAnsi="Arial CYR" w:cs="Arial CYR"/>
                <w:color w:val="000000"/>
                <w:sz w:val="20"/>
                <w:szCs w:val="20"/>
              </w:rPr>
              <w:t xml:space="preserve"> характеристик</w:t>
            </w:r>
            <w:r w:rsidR="00D4583A">
              <w:rPr>
                <w:rFonts w:ascii="Arial CYR" w:hAnsi="Arial CYR" w:cs="Arial CYR"/>
                <w:color w:val="000000"/>
                <w:sz w:val="20"/>
                <w:szCs w:val="20"/>
              </w:rPr>
              <w:t xml:space="preserve"> МИ</w:t>
            </w:r>
            <w:r w:rsidRPr="00454313">
              <w:rPr>
                <w:rFonts w:ascii="Arial CYR" w:hAnsi="Arial CYR" w:cs="Arial CYR"/>
                <w:color w:val="000000"/>
                <w:sz w:val="20"/>
                <w:szCs w:val="20"/>
              </w:rPr>
              <w:t>.</w:t>
            </w:r>
          </w:p>
        </w:tc>
      </w:tr>
      <w:tr w:rsidR="0011603F" w:rsidRPr="00454313" w:rsidTr="00824CCA">
        <w:tc>
          <w:tcPr>
            <w:tcW w:w="6529" w:type="dxa"/>
          </w:tcPr>
          <w:p w:rsidR="0011603F" w:rsidRPr="00454313" w:rsidRDefault="0011603F">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lastRenderedPageBreak/>
              <w:t>Device Registry</w:t>
            </w:r>
            <w:r w:rsidR="00D6033B" w:rsidRPr="00454313">
              <w:rPr>
                <w:rStyle w:val="a5"/>
                <w:rFonts w:ascii="Arial CYR" w:hAnsi="Arial CYR" w:cs="Arial CYR"/>
                <w:b/>
                <w:bCs/>
                <w:color w:val="000000"/>
                <w:sz w:val="20"/>
                <w:szCs w:val="20"/>
                <w:lang w:val="en-GB"/>
              </w:rPr>
              <w:footnoteReference w:id="5"/>
            </w:r>
            <w:r w:rsidRPr="00454313">
              <w:rPr>
                <w:rFonts w:ascii="Arial CYR" w:hAnsi="Arial CYR" w:cs="Arial CYR"/>
                <w:b/>
                <w:bCs/>
                <w:color w:val="000000"/>
                <w:sz w:val="20"/>
                <w:szCs w:val="20"/>
                <w:lang w:val="en-GB"/>
              </w:rPr>
              <w:t>:</w:t>
            </w:r>
          </w:p>
        </w:tc>
        <w:tc>
          <w:tcPr>
            <w:tcW w:w="8167" w:type="dxa"/>
            <w:gridSpan w:val="2"/>
          </w:tcPr>
          <w:p w:rsidR="0011603F" w:rsidRPr="00454313" w:rsidRDefault="0011603F" w:rsidP="00D4583A">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 xml:space="preserve">Реестр </w:t>
            </w:r>
            <w:r w:rsidR="00D4583A">
              <w:rPr>
                <w:rFonts w:ascii="Arial CYR" w:hAnsi="Arial CYR" w:cs="Arial CYR"/>
                <w:b/>
                <w:bCs/>
                <w:color w:val="000000"/>
                <w:sz w:val="20"/>
                <w:szCs w:val="20"/>
              </w:rPr>
              <w:t>изделий</w:t>
            </w:r>
            <w:r w:rsidRPr="00454313">
              <w:rPr>
                <w:rFonts w:ascii="Arial CYR" w:hAnsi="Arial CYR" w:cs="Arial CYR"/>
                <w:b/>
                <w:bCs/>
                <w:color w:val="000000"/>
                <w:sz w:val="20"/>
                <w:szCs w:val="20"/>
              </w:rPr>
              <w:t>:</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An organised system that uses observational study methods to collect defined clinical data under normal conditions of use relating to one or more devices to evaluate specified outcomes for a population defined by a particular disease, condition, or exposure and that serves predetermined scientific, clinical or policy purpose(s).</w:t>
            </w:r>
          </w:p>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Note: The term “device registry” as defined in this guidance should not be confused with the concept of device registration and listing. (See GHTF SG1N065)</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Организованная система, охватывающая одно или более </w:t>
            </w:r>
            <w:r w:rsidR="00AA15C3">
              <w:rPr>
                <w:rFonts w:ascii="Arial CYR" w:hAnsi="Arial CYR" w:cs="Arial CYR"/>
                <w:color w:val="000000"/>
                <w:sz w:val="20"/>
                <w:szCs w:val="20"/>
              </w:rPr>
              <w:t>изделий</w:t>
            </w:r>
            <w:r w:rsidRPr="00454313">
              <w:rPr>
                <w:rFonts w:ascii="Arial CYR" w:hAnsi="Arial CYR" w:cs="Arial CYR"/>
                <w:color w:val="000000"/>
                <w:sz w:val="20"/>
                <w:szCs w:val="20"/>
              </w:rPr>
              <w:t>, служащая заранее установленный научным, клиническим или иным целям, которая использует наблюдательные методы исследования для сбора определённых клинических данных при нормальных условиях эксплуатации, чтобы оценить совокупность результатов для популяции определённой конкретными заболеваниями, условиями или воздействием.</w:t>
            </w:r>
          </w:p>
          <w:p w:rsidR="0020748A" w:rsidRPr="00454313" w:rsidRDefault="0020748A" w:rsidP="00AA15C3">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Примечание: термин «</w:t>
            </w:r>
            <w:r w:rsidR="00454313" w:rsidRPr="00454313">
              <w:rPr>
                <w:rFonts w:ascii="Arial CYR" w:hAnsi="Arial CYR" w:cs="Arial CYR"/>
                <w:color w:val="000000"/>
                <w:sz w:val="20"/>
                <w:szCs w:val="20"/>
              </w:rPr>
              <w:t xml:space="preserve">Реестр </w:t>
            </w:r>
            <w:r w:rsidR="00AA15C3">
              <w:rPr>
                <w:rFonts w:ascii="Arial CYR" w:hAnsi="Arial CYR" w:cs="Arial CYR"/>
                <w:color w:val="000000"/>
                <w:sz w:val="20"/>
                <w:szCs w:val="20"/>
              </w:rPr>
              <w:t>изделий</w:t>
            </w:r>
            <w:r w:rsidRPr="00454313">
              <w:rPr>
                <w:rFonts w:ascii="Arial CYR" w:hAnsi="Arial CYR" w:cs="Arial CYR"/>
                <w:color w:val="000000"/>
                <w:sz w:val="20"/>
                <w:szCs w:val="20"/>
              </w:rPr>
              <w:t xml:space="preserve">», как определено в этом </w:t>
            </w:r>
            <w:r w:rsidR="00454313" w:rsidRPr="00454313">
              <w:rPr>
                <w:rFonts w:ascii="Arial CYR" w:hAnsi="Arial CYR" w:cs="Arial CYR"/>
                <w:color w:val="000000"/>
                <w:sz w:val="20"/>
                <w:szCs w:val="20"/>
              </w:rPr>
              <w:t xml:space="preserve">Руководстве </w:t>
            </w:r>
            <w:r w:rsidRPr="00454313">
              <w:rPr>
                <w:rFonts w:ascii="Arial CYR" w:hAnsi="Arial CYR" w:cs="Arial CYR"/>
                <w:color w:val="000000"/>
                <w:sz w:val="20"/>
                <w:szCs w:val="20"/>
              </w:rPr>
              <w:t xml:space="preserve">не стоит путать с понятием регистрация </w:t>
            </w:r>
            <w:r w:rsidR="00AA15C3">
              <w:rPr>
                <w:rFonts w:ascii="Arial CYR" w:hAnsi="Arial CYR" w:cs="Arial CYR"/>
                <w:color w:val="000000"/>
                <w:sz w:val="20"/>
                <w:szCs w:val="20"/>
              </w:rPr>
              <w:t>изделий</w:t>
            </w:r>
            <w:r w:rsidRPr="00454313">
              <w:rPr>
                <w:rFonts w:ascii="Arial CYR" w:hAnsi="Arial CYR" w:cs="Arial CYR"/>
                <w:color w:val="000000"/>
                <w:sz w:val="20"/>
                <w:szCs w:val="20"/>
              </w:rPr>
              <w:t xml:space="preserve"> и списком.</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t>Post-market clinical follow-up (PMCF) study:</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Пост-продажное клиническое наблюдение (PMCF) по текущим данным:</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A study carried out following the CE marking of a device and intended to answer specific questions relating to clinical safety or performance (i.e. residual risks) of a device when used in accordance with its approved labelling.</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Исследование, проведённое после получения CE-маркировки на </w:t>
            </w:r>
            <w:r w:rsidR="00AA15C3" w:rsidRPr="00AA15C3">
              <w:rPr>
                <w:rFonts w:ascii="Arial CYR" w:hAnsi="Arial CYR" w:cs="Arial CYR"/>
                <w:color w:val="000000"/>
                <w:sz w:val="20"/>
                <w:szCs w:val="20"/>
              </w:rPr>
              <w:t>издели</w:t>
            </w:r>
            <w:r w:rsidR="00AA15C3">
              <w:rPr>
                <w:rFonts w:ascii="Arial CYR" w:hAnsi="Arial CYR" w:cs="Arial CYR"/>
                <w:color w:val="000000"/>
                <w:sz w:val="20"/>
                <w:szCs w:val="20"/>
              </w:rPr>
              <w:t xml:space="preserve">е </w:t>
            </w:r>
            <w:r w:rsidRPr="00454313">
              <w:rPr>
                <w:rFonts w:ascii="Arial CYR" w:hAnsi="Arial CYR" w:cs="Arial CYR"/>
                <w:color w:val="000000"/>
                <w:sz w:val="20"/>
                <w:szCs w:val="20"/>
              </w:rPr>
              <w:t xml:space="preserve">с целью ответа на конкретные вопросы, касающиеся клинической безопасности или эксплуатационных характеристик (то есть остаточных рисков) </w:t>
            </w:r>
            <w:r w:rsidR="00AA15C3">
              <w:rPr>
                <w:rFonts w:ascii="Arial CYR" w:hAnsi="Arial CYR" w:cs="Arial CYR"/>
                <w:color w:val="000000"/>
                <w:sz w:val="20"/>
                <w:szCs w:val="20"/>
              </w:rPr>
              <w:t>изделия</w:t>
            </w:r>
            <w:r w:rsidRPr="00454313">
              <w:rPr>
                <w:rFonts w:ascii="Arial CYR" w:hAnsi="Arial CYR" w:cs="Arial CYR"/>
                <w:color w:val="000000"/>
                <w:sz w:val="20"/>
                <w:szCs w:val="20"/>
              </w:rPr>
              <w:t xml:space="preserve"> эксплуатируемого в соответствии с обозначенным предназначением.</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b/>
                <w:bCs/>
                <w:color w:val="000000"/>
                <w:sz w:val="20"/>
                <w:szCs w:val="20"/>
                <w:lang w:val="en-GB"/>
              </w:rPr>
              <w:t>PMCF plan</w:t>
            </w:r>
            <w:r w:rsidRPr="00454313">
              <w:rPr>
                <w:rFonts w:ascii="Arial CYR" w:hAnsi="Arial CYR" w:cs="Arial CYR"/>
                <w:color w:val="000000"/>
                <w:sz w:val="20"/>
                <w:szCs w:val="20"/>
                <w:lang w:val="en-GB"/>
              </w:rPr>
              <w:t>:</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b/>
                <w:bCs/>
                <w:color w:val="000000"/>
                <w:sz w:val="20"/>
                <w:szCs w:val="20"/>
              </w:rPr>
              <w:t>План PMCF</w:t>
            </w:r>
            <w:r w:rsidRPr="00454313">
              <w:rPr>
                <w:rFonts w:ascii="Arial CYR" w:hAnsi="Arial CYR" w:cs="Arial CYR"/>
                <w:color w:val="000000"/>
                <w:sz w:val="20"/>
                <w:szCs w:val="20"/>
              </w:rPr>
              <w:t>:</w:t>
            </w:r>
            <w:r w:rsidRPr="00454313">
              <w:rPr>
                <w:rStyle w:val="a5"/>
                <w:rFonts w:ascii="Arial CYR" w:hAnsi="Arial CYR" w:cs="Arial CYR"/>
                <w:color w:val="000000"/>
                <w:sz w:val="20"/>
                <w:szCs w:val="20"/>
              </w:rPr>
              <w:footnoteReference w:id="6"/>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documented, proactive, organized methods and procedures set up by the manufacturer to collect clinical data based on the use of a CE-marked device corresponding to a particular design dossier or on the use of a group of medical devices belonging to the same subcategory or generic device group as defined in Directive 93/42/EEC. The objective is to confirm clinical performance and safety throughout the expected lifetime of the medical device, the acceptability of identified risks and to detect emerging risks on the basis of factual evidence.</w:t>
            </w:r>
          </w:p>
        </w:tc>
        <w:tc>
          <w:tcPr>
            <w:tcW w:w="8167" w:type="dxa"/>
            <w:gridSpan w:val="2"/>
          </w:tcPr>
          <w:p w:rsidR="0020748A" w:rsidRPr="00454313" w:rsidRDefault="0020748A" w:rsidP="00AA15C3">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Задокументированные, </w:t>
            </w:r>
            <w:proofErr w:type="spellStart"/>
            <w:r w:rsidRPr="00454313">
              <w:rPr>
                <w:rFonts w:ascii="Arial CYR" w:hAnsi="Arial CYR" w:cs="Arial CYR"/>
                <w:color w:val="000000"/>
                <w:sz w:val="20"/>
                <w:szCs w:val="20"/>
              </w:rPr>
              <w:t>проактивные</w:t>
            </w:r>
            <w:proofErr w:type="spellEnd"/>
            <w:r w:rsidRPr="00454313">
              <w:rPr>
                <w:rFonts w:ascii="Arial CYR" w:hAnsi="Arial CYR" w:cs="Arial CYR"/>
                <w:color w:val="000000"/>
                <w:sz w:val="20"/>
                <w:szCs w:val="20"/>
              </w:rPr>
              <w:t xml:space="preserve">(упреждающие), организационные меры и процедуры, установленные производителем, чтобы собрать клинические данные, основанные на использовании </w:t>
            </w:r>
            <w:r w:rsidR="00AA15C3">
              <w:rPr>
                <w:rFonts w:ascii="Arial CYR" w:hAnsi="Arial CYR" w:cs="Arial CYR"/>
                <w:color w:val="000000"/>
                <w:sz w:val="20"/>
                <w:szCs w:val="20"/>
              </w:rPr>
              <w:t>изделия</w:t>
            </w:r>
            <w:r w:rsidRPr="00454313">
              <w:rPr>
                <w:rFonts w:ascii="Arial CYR" w:hAnsi="Arial CYR" w:cs="Arial CYR"/>
                <w:color w:val="000000"/>
                <w:sz w:val="20"/>
                <w:szCs w:val="20"/>
              </w:rPr>
              <w:t xml:space="preserve"> имеющего CE-маркировку, соответствующего конкретному комплекту проектной документации или на использовании группы </w:t>
            </w:r>
            <w:r w:rsidR="00AA15C3">
              <w:rPr>
                <w:rFonts w:ascii="Arial CYR" w:hAnsi="Arial CYR" w:cs="Arial CYR"/>
                <w:color w:val="000000"/>
                <w:sz w:val="20"/>
                <w:szCs w:val="20"/>
              </w:rPr>
              <w:t>МИ</w:t>
            </w:r>
            <w:r w:rsidRPr="00454313">
              <w:rPr>
                <w:rFonts w:ascii="Arial CYR" w:hAnsi="Arial CYR" w:cs="Arial CYR"/>
                <w:color w:val="000000"/>
                <w:sz w:val="20"/>
                <w:szCs w:val="20"/>
              </w:rPr>
              <w:t xml:space="preserve">, принадлежащих той же самой подкатегории или общей группе </w:t>
            </w:r>
            <w:r w:rsidR="00AA15C3" w:rsidRPr="00AA15C3">
              <w:rPr>
                <w:rFonts w:ascii="Arial CYR" w:hAnsi="Arial CYR" w:cs="Arial CYR"/>
                <w:color w:val="000000"/>
                <w:sz w:val="20"/>
                <w:szCs w:val="20"/>
              </w:rPr>
              <w:t>издели</w:t>
            </w:r>
            <w:r w:rsidR="00AA15C3">
              <w:rPr>
                <w:rFonts w:ascii="Arial CYR" w:hAnsi="Arial CYR" w:cs="Arial CYR"/>
                <w:color w:val="000000"/>
                <w:sz w:val="20"/>
                <w:szCs w:val="20"/>
              </w:rPr>
              <w:t>й</w:t>
            </w:r>
            <w:r w:rsidRPr="00454313">
              <w:rPr>
                <w:rFonts w:ascii="Arial CYR" w:hAnsi="Arial CYR" w:cs="Arial CYR"/>
                <w:color w:val="000000"/>
                <w:sz w:val="20"/>
                <w:szCs w:val="20"/>
              </w:rPr>
              <w:t>, как определено в Директиве 93/42/EEC. Цель состоит в том, чтобы подтвердить клиническую эффективность и безопасность по всему ожидаемому сроку службы</w:t>
            </w:r>
            <w:r w:rsidR="00AA15C3">
              <w:rPr>
                <w:rFonts w:ascii="Arial CYR" w:hAnsi="Arial CYR" w:cs="Arial CYR"/>
                <w:color w:val="000000"/>
                <w:sz w:val="20"/>
                <w:szCs w:val="20"/>
              </w:rPr>
              <w:t xml:space="preserve"> МИ</w:t>
            </w:r>
            <w:r w:rsidRPr="00454313">
              <w:rPr>
                <w:rFonts w:ascii="Arial CYR" w:hAnsi="Arial CYR" w:cs="Arial CYR"/>
                <w:color w:val="000000"/>
                <w:sz w:val="20"/>
                <w:szCs w:val="20"/>
              </w:rPr>
              <w:t>, приемлемости идентифицированных рисков и обнаружения возникающих рисков на основе фактических данных.</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b/>
                <w:bCs/>
                <w:color w:val="000000"/>
                <w:sz w:val="20"/>
                <w:szCs w:val="20"/>
                <w:lang w:val="en-GB"/>
              </w:rPr>
            </w:pPr>
            <w:r w:rsidRPr="00454313">
              <w:rPr>
                <w:rFonts w:ascii="Arial CYR" w:hAnsi="Arial CYR" w:cs="Arial CYR"/>
                <w:b/>
                <w:bCs/>
                <w:color w:val="000000"/>
                <w:sz w:val="20"/>
                <w:szCs w:val="20"/>
                <w:lang w:val="en-GB"/>
              </w:rPr>
              <w:t>Residual Risk:</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b/>
                <w:bCs/>
                <w:color w:val="000000"/>
                <w:sz w:val="20"/>
                <w:szCs w:val="20"/>
              </w:rPr>
            </w:pPr>
            <w:r w:rsidRPr="00454313">
              <w:rPr>
                <w:rFonts w:ascii="Arial CYR" w:hAnsi="Arial CYR" w:cs="Arial CYR"/>
                <w:b/>
                <w:bCs/>
                <w:color w:val="000000"/>
                <w:sz w:val="20"/>
                <w:szCs w:val="20"/>
              </w:rPr>
              <w:t>Остаточный риск:</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Courier New CYR" w:hAnsi="Courier New CYR" w:cs="Courier New CYR"/>
                <w:color w:val="000000"/>
                <w:sz w:val="20"/>
                <w:szCs w:val="20"/>
                <w:lang w:val="en-GB"/>
              </w:rPr>
            </w:pPr>
            <w:r w:rsidRPr="00454313">
              <w:rPr>
                <w:rFonts w:ascii="Arial CYR" w:hAnsi="Arial CYR" w:cs="Arial CYR"/>
                <w:color w:val="000000"/>
                <w:sz w:val="20"/>
                <w:szCs w:val="20"/>
                <w:lang w:val="en-GB"/>
              </w:rPr>
              <w:t>Risk remaining after risk control measures has been taken</w:t>
            </w:r>
            <w:r w:rsidRPr="00454313">
              <w:rPr>
                <w:rFonts w:ascii="Courier New CYR" w:hAnsi="Courier New CYR" w:cs="Courier New CYR"/>
                <w:color w:val="000000"/>
                <w:sz w:val="20"/>
                <w:szCs w:val="20"/>
                <w:lang w:val="en-GB"/>
              </w:rPr>
              <w:t>.</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Courier New CYR" w:hAnsi="Courier New CYR" w:cs="Courier New CYR"/>
                <w:color w:val="000000"/>
                <w:sz w:val="20"/>
                <w:szCs w:val="20"/>
              </w:rPr>
            </w:pPr>
            <w:r w:rsidRPr="00454313">
              <w:rPr>
                <w:rFonts w:ascii="Arial CYR" w:hAnsi="Arial CYR" w:cs="Arial CYR"/>
                <w:color w:val="000000"/>
                <w:sz w:val="20"/>
                <w:szCs w:val="20"/>
              </w:rPr>
              <w:t>Р</w:t>
            </w:r>
            <w:r w:rsidRPr="00454313">
              <w:t>иск,</w:t>
            </w:r>
            <w:r w:rsidRPr="00454313">
              <w:rPr>
                <w:rFonts w:ascii="Arial CYR" w:hAnsi="Arial CYR" w:cs="Arial CYR"/>
                <w:color w:val="000000"/>
                <w:sz w:val="20"/>
                <w:szCs w:val="20"/>
              </w:rPr>
              <w:t xml:space="preserve"> оставшийся</w:t>
            </w:r>
            <w:r w:rsidRPr="00454313">
              <w:t xml:space="preserve"> после предпринятых мер по обработке риска</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5. Circumstances where a PMCF study is indicated</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5. Обстоятельства, где исследование PMCF предписано:</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 xml:space="preserve">Following a proper premarket clinical evaluation, the decision to conduct PMCF studies must be based on the identification of possible residual risks and/or </w:t>
            </w:r>
            <w:proofErr w:type="spellStart"/>
            <w:r w:rsidRPr="00454313">
              <w:rPr>
                <w:rFonts w:ascii="Arial CYR" w:hAnsi="Arial CYR" w:cs="Arial CYR"/>
                <w:color w:val="000000"/>
                <w:sz w:val="20"/>
                <w:szCs w:val="20"/>
                <w:lang w:val="en-GB"/>
              </w:rPr>
              <w:t>unclarity</w:t>
            </w:r>
            <w:proofErr w:type="spellEnd"/>
            <w:r w:rsidRPr="00454313">
              <w:rPr>
                <w:rFonts w:ascii="Arial CYR" w:hAnsi="Arial CYR" w:cs="Arial CYR"/>
                <w:color w:val="000000"/>
                <w:sz w:val="20"/>
                <w:szCs w:val="20"/>
                <w:lang w:val="en-GB"/>
              </w:rPr>
              <w:t xml:space="preserve"> on long term clinical performance that may impact the benefit/risk ratio.</w:t>
            </w:r>
          </w:p>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PMCF studies may review issues such as long-term performance and/or safety, the occurrence of clinical events (e.g. delayed hypersensitivity reactions, thrombosis), events specific to defined patient populations, or the performance and/or safety of the device in a more representative population of users and patients.</w:t>
            </w:r>
          </w:p>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Circumstances that may justify PMCF studies include, for example:</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После надлежащей предпродажной клинической оценки решение провести PMCF исследования должно быть основано на идентификации возможных остаточных рисков и/или неясности долговременной клинической эффективности, которые могут повлиять на соотношение преимущества/риск.</w:t>
            </w:r>
          </w:p>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PMCF исследования могут рассматривать такие проблемы, как долговременная эффективность и/или безопасность, эпизоды клинических событий (например, отсроченные аллергические реакции, тромбоз), события, специфические для определённых групп пациентов, или эффективность и/или безопасность </w:t>
            </w:r>
            <w:r w:rsidR="00AA15C3">
              <w:rPr>
                <w:rFonts w:ascii="Arial CYR" w:hAnsi="Arial CYR" w:cs="Arial CYR"/>
                <w:color w:val="000000"/>
                <w:sz w:val="20"/>
                <w:szCs w:val="20"/>
              </w:rPr>
              <w:t>изделия</w:t>
            </w:r>
            <w:r w:rsidRPr="00454313">
              <w:rPr>
                <w:rFonts w:ascii="Arial CYR" w:hAnsi="Arial CYR" w:cs="Arial CYR"/>
                <w:color w:val="000000"/>
                <w:sz w:val="20"/>
                <w:szCs w:val="20"/>
              </w:rPr>
              <w:t xml:space="preserve"> в более репрезентативной группе пользователей и пациентов.</w:t>
            </w:r>
          </w:p>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Обстоятельства, которые могут потребовать проведения PMCF исследования, включают, например:</w:t>
            </w:r>
          </w:p>
        </w:tc>
      </w:tr>
      <w:tr w:rsidR="0020748A" w:rsidRPr="00454313" w:rsidTr="00824CCA">
        <w:tc>
          <w:tcPr>
            <w:tcW w:w="6529" w:type="dxa"/>
          </w:tcPr>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lastRenderedPageBreak/>
              <w:t>innovation, e.g., where the design of the device, the materials, substances, the principles of operation, the technology or the medical indications are novel;</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significant changes to the products or to its intended use for which premarket clinical evaluation and re-certification has been completed;</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high product related risk e.g. based on design, materials, components, invasiveness, clinical procedures;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high risk anatomical locations;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high risk target populations e.g. paediatrics, elderly;</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severity of disease/treatment challenges;</w:t>
            </w:r>
          </w:p>
        </w:tc>
        <w:tc>
          <w:tcPr>
            <w:tcW w:w="8167" w:type="dxa"/>
            <w:gridSpan w:val="2"/>
          </w:tcPr>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инновации</w:t>
            </w:r>
            <w:r w:rsidRPr="00454313">
              <w:rPr>
                <w:rFonts w:ascii="Arial CYR" w:hAnsi="Arial CYR" w:cs="Arial CYR"/>
                <w:sz w:val="20"/>
                <w:szCs w:val="20"/>
              </w:rPr>
              <w:t>, например, когда конструкция МИ, материала, вещества, принципов работы, технологий или медицинских показаний являются новыми;</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существенные изменения</w:t>
            </w:r>
            <w:r w:rsidRPr="00454313">
              <w:rPr>
                <w:rFonts w:ascii="Arial CYR" w:hAnsi="Arial CYR" w:cs="Arial CYR"/>
                <w:sz w:val="20"/>
                <w:szCs w:val="20"/>
              </w:rPr>
              <w:t xml:space="preserve"> в продуктах или их намеченном использовании, для которого были завершены предпродажная клиническая оценка и </w:t>
            </w:r>
            <w:proofErr w:type="spellStart"/>
            <w:r w:rsidRPr="00454313">
              <w:rPr>
                <w:rFonts w:ascii="Arial CYR" w:hAnsi="Arial CYR" w:cs="Arial CYR"/>
                <w:sz w:val="20"/>
                <w:szCs w:val="20"/>
              </w:rPr>
              <w:t>ресертификация</w:t>
            </w:r>
            <w:proofErr w:type="spellEnd"/>
            <w:r w:rsidRPr="00454313">
              <w:rPr>
                <w:rFonts w:ascii="Arial CYR" w:hAnsi="Arial CYR" w:cs="Arial CYR"/>
                <w:sz w:val="20"/>
                <w:szCs w:val="20"/>
              </w:rPr>
              <w:t>;</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продукт связан с высоким риском</w:t>
            </w:r>
            <w:r w:rsidRPr="00454313">
              <w:rPr>
                <w:rFonts w:ascii="Arial CYR" w:hAnsi="Arial CYR" w:cs="Arial CYR"/>
                <w:sz w:val="20"/>
                <w:szCs w:val="20"/>
              </w:rPr>
              <w:t xml:space="preserve"> лежащим, например, в основе конструкции, материалах, компонентах, </w:t>
            </w:r>
            <w:proofErr w:type="spellStart"/>
            <w:r w:rsidRPr="00454313">
              <w:rPr>
                <w:rFonts w:ascii="Arial CYR" w:hAnsi="Arial CYR" w:cs="Arial CYR"/>
                <w:sz w:val="20"/>
                <w:szCs w:val="20"/>
              </w:rPr>
              <w:t>инвазивности</w:t>
            </w:r>
            <w:proofErr w:type="spellEnd"/>
            <w:r w:rsidRPr="00454313">
              <w:rPr>
                <w:rFonts w:ascii="Arial CYR" w:hAnsi="Arial CYR" w:cs="Arial CYR"/>
                <w:sz w:val="20"/>
                <w:szCs w:val="20"/>
              </w:rPr>
              <w:t>, медицинских процедурах;</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высокий риск анатомической локализации</w:t>
            </w:r>
            <w:r w:rsidRPr="00454313">
              <w:rPr>
                <w:rFonts w:ascii="Arial CYR" w:hAnsi="Arial CYR" w:cs="Arial CYR"/>
                <w:sz w:val="20"/>
                <w:szCs w:val="20"/>
              </w:rPr>
              <w:t>;</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целевые группы населения высокого риска</w:t>
            </w:r>
            <w:r w:rsidRPr="00454313">
              <w:rPr>
                <w:rFonts w:ascii="Arial CYR" w:hAnsi="Arial CYR" w:cs="Arial CYR"/>
                <w:sz w:val="20"/>
                <w:szCs w:val="20"/>
              </w:rPr>
              <w:t>, например, педиатрия, пожилые;</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серьёзность</w:t>
            </w:r>
            <w:r w:rsidRPr="00454313">
              <w:rPr>
                <w:rFonts w:ascii="Arial CYR" w:hAnsi="Arial CYR" w:cs="Arial CYR"/>
                <w:sz w:val="20"/>
                <w:szCs w:val="20"/>
              </w:rPr>
              <w:t xml:space="preserve"> проблем </w:t>
            </w:r>
            <w:r w:rsidRPr="00454313">
              <w:rPr>
                <w:rFonts w:ascii="Arial CYR" w:hAnsi="Arial CYR" w:cs="Arial CYR"/>
                <w:b/>
                <w:sz w:val="20"/>
                <w:szCs w:val="20"/>
              </w:rPr>
              <w:t>болезни/лечения</w:t>
            </w:r>
            <w:r w:rsidRPr="00454313">
              <w:rPr>
                <w:rFonts w:ascii="Arial CYR" w:hAnsi="Arial CYR" w:cs="Arial CYR"/>
                <w:sz w:val="20"/>
                <w:szCs w:val="20"/>
              </w:rPr>
              <w:t>;</w:t>
            </w:r>
          </w:p>
        </w:tc>
      </w:tr>
      <w:tr w:rsidR="0020748A" w:rsidRPr="00454313" w:rsidTr="00824CCA">
        <w:tc>
          <w:tcPr>
            <w:tcW w:w="6529" w:type="dxa"/>
          </w:tcPr>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questions of ability to generalise clinical investigation results;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unanswered questions of long-term safety and performance;</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results from any previous clinical investigation, including adverse events or from post-market surveillance activities;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identification of previously unstudied subpopulations which may show different benefit/risk-ratio e.g. hip implants in different ethnic populations;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continued validation in cases of discrepancy between reasonable premarket follow-up time scales and the expected life of the product;</w:t>
            </w:r>
          </w:p>
        </w:tc>
        <w:tc>
          <w:tcPr>
            <w:tcW w:w="8167" w:type="dxa"/>
            <w:gridSpan w:val="2"/>
          </w:tcPr>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 xml:space="preserve">вопросы связанные со </w:t>
            </w:r>
            <w:r w:rsidRPr="00454313">
              <w:rPr>
                <w:rFonts w:ascii="Arial CYR" w:hAnsi="Arial CYR" w:cs="Arial CYR"/>
                <w:b/>
                <w:sz w:val="20"/>
                <w:szCs w:val="20"/>
              </w:rPr>
              <w:t>способностью обобщения</w:t>
            </w:r>
            <w:r w:rsidRPr="00454313">
              <w:rPr>
                <w:rFonts w:ascii="Arial CYR" w:hAnsi="Arial CYR" w:cs="Arial CYR"/>
                <w:sz w:val="20"/>
                <w:szCs w:val="20"/>
              </w:rPr>
              <w:t xml:space="preserve"> результатов клинических исследований;</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оставшиеся без ответа вопросы</w:t>
            </w:r>
            <w:r w:rsidRPr="00454313">
              <w:rPr>
                <w:rFonts w:ascii="Arial CYR" w:hAnsi="Arial CYR" w:cs="Arial CYR"/>
                <w:sz w:val="20"/>
                <w:szCs w:val="20"/>
              </w:rPr>
              <w:t xml:space="preserve"> долговременной безопасности и работоспособности;</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 xml:space="preserve">результаты любого предыдущего клинического исследования, включая </w:t>
            </w:r>
            <w:r w:rsidRPr="00454313">
              <w:rPr>
                <w:rFonts w:ascii="Arial CYR" w:hAnsi="Arial CYR" w:cs="Arial CYR"/>
                <w:b/>
                <w:sz w:val="20"/>
                <w:szCs w:val="20"/>
              </w:rPr>
              <w:t>нежелательные события</w:t>
            </w:r>
            <w:r w:rsidRPr="00454313">
              <w:rPr>
                <w:rFonts w:ascii="Arial CYR" w:hAnsi="Arial CYR" w:cs="Arial CYR"/>
                <w:sz w:val="20"/>
                <w:szCs w:val="20"/>
              </w:rPr>
              <w:t xml:space="preserve"> или наблюдения от пост-маркетинговых мероприятий;</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 xml:space="preserve">выявление </w:t>
            </w:r>
            <w:r w:rsidRPr="00454313">
              <w:rPr>
                <w:rFonts w:ascii="Arial CYR" w:hAnsi="Arial CYR" w:cs="Arial CYR"/>
                <w:b/>
                <w:sz w:val="20"/>
                <w:szCs w:val="20"/>
              </w:rPr>
              <w:t xml:space="preserve">ранее не изученных </w:t>
            </w:r>
            <w:proofErr w:type="spellStart"/>
            <w:r w:rsidRPr="00454313">
              <w:rPr>
                <w:rFonts w:ascii="Arial CYR" w:hAnsi="Arial CYR" w:cs="Arial CYR"/>
                <w:b/>
                <w:sz w:val="20"/>
                <w:szCs w:val="20"/>
              </w:rPr>
              <w:t>субпопуляций</w:t>
            </w:r>
            <w:proofErr w:type="spellEnd"/>
            <w:r w:rsidRPr="00454313">
              <w:rPr>
                <w:rFonts w:ascii="Arial CYR" w:hAnsi="Arial CYR" w:cs="Arial CYR"/>
                <w:sz w:val="20"/>
                <w:szCs w:val="20"/>
              </w:rPr>
              <w:t xml:space="preserve">, которые могут показать другое отношение риск/польза, например, </w:t>
            </w:r>
            <w:proofErr w:type="spellStart"/>
            <w:r w:rsidRPr="00454313">
              <w:rPr>
                <w:rFonts w:ascii="Arial CYR" w:hAnsi="Arial CYR" w:cs="Arial CYR"/>
                <w:sz w:val="20"/>
                <w:szCs w:val="20"/>
              </w:rPr>
              <w:t>эндопротезов</w:t>
            </w:r>
            <w:proofErr w:type="spellEnd"/>
            <w:r w:rsidRPr="00454313">
              <w:rPr>
                <w:rFonts w:ascii="Arial CYR" w:hAnsi="Arial CYR" w:cs="Arial CYR"/>
                <w:sz w:val="20"/>
                <w:szCs w:val="20"/>
              </w:rPr>
              <w:t xml:space="preserve"> тазобедренного сустава в различных этнических популяциях;</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b/>
                <w:sz w:val="20"/>
                <w:szCs w:val="20"/>
              </w:rPr>
            </w:pPr>
            <w:r w:rsidRPr="00454313">
              <w:rPr>
                <w:rFonts w:ascii="Arial CYR" w:hAnsi="Arial CYR" w:cs="Arial CYR"/>
                <w:b/>
                <w:sz w:val="20"/>
                <w:szCs w:val="20"/>
              </w:rPr>
              <w:t xml:space="preserve">длительная проверка </w:t>
            </w:r>
            <w:r w:rsidRPr="00454313">
              <w:rPr>
                <w:rFonts w:ascii="Arial CYR" w:hAnsi="Arial CYR" w:cs="Arial CYR"/>
                <w:sz w:val="20"/>
                <w:szCs w:val="20"/>
              </w:rPr>
              <w:t xml:space="preserve">в случаях несоответствия между разумными временными рамками предпродажного </w:t>
            </w:r>
            <w:proofErr w:type="spellStart"/>
            <w:r w:rsidRPr="00454313">
              <w:rPr>
                <w:rFonts w:ascii="Arial CYR" w:hAnsi="Arial CYR" w:cs="Arial CYR"/>
                <w:sz w:val="20"/>
                <w:szCs w:val="20"/>
              </w:rPr>
              <w:t>катамнеза</w:t>
            </w:r>
            <w:proofErr w:type="spellEnd"/>
            <w:r w:rsidRPr="00454313">
              <w:rPr>
                <w:rFonts w:ascii="Arial CYR" w:hAnsi="Arial CYR" w:cs="Arial CYR"/>
                <w:sz w:val="20"/>
                <w:szCs w:val="20"/>
              </w:rPr>
              <w:t xml:space="preserve"> и ожидаемого срока службы продукта;</w:t>
            </w:r>
          </w:p>
        </w:tc>
      </w:tr>
      <w:tr w:rsidR="0020748A" w:rsidRPr="00454313" w:rsidTr="00824CCA">
        <w:tc>
          <w:tcPr>
            <w:tcW w:w="6529" w:type="dxa"/>
          </w:tcPr>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risks identified from the literature or other data sources for similar marketed devices;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interaction with other medical products or treatments;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verification of safety and performance of device when exposed to a larger and more varied population of clinical users;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emergence of new information on safety or performance;</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where CE marking was based on equivalence.</w:t>
            </w:r>
          </w:p>
        </w:tc>
        <w:tc>
          <w:tcPr>
            <w:tcW w:w="8167" w:type="dxa"/>
            <w:gridSpan w:val="2"/>
          </w:tcPr>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риски</w:t>
            </w:r>
            <w:r w:rsidRPr="00454313">
              <w:rPr>
                <w:rFonts w:ascii="Arial CYR" w:hAnsi="Arial CYR" w:cs="Arial CYR"/>
                <w:sz w:val="20"/>
                <w:szCs w:val="20"/>
              </w:rPr>
              <w:t xml:space="preserve">, определённые по литературным или другим источникам данных </w:t>
            </w:r>
            <w:r w:rsidRPr="00454313">
              <w:rPr>
                <w:rFonts w:ascii="Arial CYR" w:hAnsi="Arial CYR" w:cs="Arial CYR"/>
                <w:b/>
                <w:sz w:val="20"/>
                <w:szCs w:val="20"/>
              </w:rPr>
              <w:t xml:space="preserve">для подобных </w:t>
            </w:r>
            <w:r w:rsidR="00AA15C3">
              <w:rPr>
                <w:rFonts w:ascii="Arial CYR" w:hAnsi="Arial CYR" w:cs="Arial CYR"/>
                <w:b/>
                <w:sz w:val="20"/>
                <w:szCs w:val="20"/>
              </w:rPr>
              <w:t>изделий</w:t>
            </w:r>
            <w:r w:rsidRPr="00454313">
              <w:rPr>
                <w:rFonts w:ascii="Arial CYR" w:hAnsi="Arial CYR" w:cs="Arial CYR"/>
                <w:b/>
                <w:sz w:val="20"/>
                <w:szCs w:val="20"/>
              </w:rPr>
              <w:t xml:space="preserve"> на рынке</w:t>
            </w:r>
            <w:r w:rsidRPr="00454313">
              <w:rPr>
                <w:rFonts w:ascii="Arial CYR" w:hAnsi="Arial CYR" w:cs="Arial CYR"/>
                <w:sz w:val="20"/>
                <w:szCs w:val="20"/>
              </w:rPr>
              <w:t>;</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взаимодействие с другими</w:t>
            </w:r>
            <w:r w:rsidRPr="00454313">
              <w:rPr>
                <w:rFonts w:ascii="Arial CYR" w:hAnsi="Arial CYR" w:cs="Arial CYR"/>
                <w:sz w:val="20"/>
                <w:szCs w:val="20"/>
              </w:rPr>
              <w:t xml:space="preserve"> лекарственными препаратами или лечением;</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проверка</w:t>
            </w:r>
            <w:r w:rsidRPr="00454313">
              <w:rPr>
                <w:rFonts w:ascii="Arial CYR" w:hAnsi="Arial CYR" w:cs="Arial CYR"/>
                <w:sz w:val="20"/>
                <w:szCs w:val="20"/>
              </w:rPr>
              <w:t xml:space="preserve"> безопасности и работоспособности МИ при контакте с</w:t>
            </w:r>
            <w:r w:rsidRPr="00454313">
              <w:rPr>
                <w:rFonts w:ascii="Arial CYR" w:hAnsi="Arial CYR" w:cs="Arial CYR"/>
                <w:b/>
                <w:sz w:val="20"/>
                <w:szCs w:val="20"/>
              </w:rPr>
              <w:t xml:space="preserve"> более многочисленными</w:t>
            </w:r>
            <w:r w:rsidRPr="00454313">
              <w:rPr>
                <w:rFonts w:ascii="Arial CYR" w:hAnsi="Arial CYR" w:cs="Arial CYR"/>
                <w:sz w:val="20"/>
                <w:szCs w:val="20"/>
              </w:rPr>
              <w:t xml:space="preserve"> и кроме того </w:t>
            </w:r>
            <w:r w:rsidRPr="00454313">
              <w:rPr>
                <w:rFonts w:ascii="Arial CYR" w:hAnsi="Arial CYR" w:cs="Arial CYR"/>
                <w:b/>
                <w:sz w:val="20"/>
                <w:szCs w:val="20"/>
              </w:rPr>
              <w:t xml:space="preserve">различными популяциями </w:t>
            </w:r>
            <w:r w:rsidRPr="00454313">
              <w:rPr>
                <w:rFonts w:ascii="Arial CYR" w:hAnsi="Arial CYR" w:cs="Arial CYR"/>
                <w:sz w:val="20"/>
                <w:szCs w:val="20"/>
              </w:rPr>
              <w:t>клинических пользователей;</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b/>
                <w:sz w:val="20"/>
                <w:szCs w:val="20"/>
              </w:rPr>
              <w:t>появление новой информации</w:t>
            </w:r>
            <w:r w:rsidRPr="00454313">
              <w:rPr>
                <w:rFonts w:ascii="Arial CYR" w:hAnsi="Arial CYR" w:cs="Arial CYR"/>
                <w:sz w:val="20"/>
                <w:szCs w:val="20"/>
              </w:rPr>
              <w:t xml:space="preserve"> о безопасности или эксплуатационных характеристиках;</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b/>
                <w:sz w:val="20"/>
                <w:szCs w:val="20"/>
              </w:rPr>
            </w:pPr>
            <w:r w:rsidRPr="00454313">
              <w:rPr>
                <w:rFonts w:ascii="Arial CYR" w:hAnsi="Arial CYR" w:cs="Arial CYR"/>
                <w:b/>
                <w:sz w:val="20"/>
                <w:szCs w:val="20"/>
              </w:rPr>
              <w:t>везде где СЕ-маркировка базировалась на эквивалентности.</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PMCF studies may not be required when the medium/long-term safety and clinical performance are already known from previous use of the device or where other appropriate post-market surveillance activities would provide sufficient data to address the risks.</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PMCF исследования могут не потребоваться, если средняя/долгосрочная характеристика безопасности и клинической эффективности МИ уже известны из предыдущего использования или другая адекватная деятельность по пост-маркетинговому наблюдению (PMS) обеспечивает достаточные данные для принятия мер по рискам</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6. Elements of a PMCF study</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6. Элементы PMCF исследования</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Post-market clinical follow-up studies are performed on a device within its intended use/purpose(s) according to the instructions for use. It is important to note that PMCF studies must be conducted according to applicable laws and regulations and should involve an appropriate methodology and follow appropriate guidance and standards.</w:t>
            </w:r>
          </w:p>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 xml:space="preserve">PMCF studies must be outlined as a </w:t>
            </w:r>
            <w:proofErr w:type="spellStart"/>
            <w:r w:rsidRPr="00454313">
              <w:rPr>
                <w:rFonts w:ascii="Arial CYR" w:hAnsi="Arial CYR" w:cs="Arial CYR"/>
                <w:color w:val="000000"/>
                <w:sz w:val="20"/>
                <w:szCs w:val="20"/>
                <w:lang w:val="en-GB"/>
              </w:rPr>
              <w:t>well designed</w:t>
            </w:r>
            <w:proofErr w:type="spellEnd"/>
            <w:r w:rsidRPr="00454313">
              <w:rPr>
                <w:rFonts w:ascii="Arial CYR" w:hAnsi="Arial CYR" w:cs="Arial CYR"/>
                <w:color w:val="000000"/>
                <w:sz w:val="20"/>
                <w:szCs w:val="20"/>
                <w:lang w:val="en-GB"/>
              </w:rPr>
              <w:t xml:space="preserve"> clinical investigation plan or study plan, and, as appropriate, include:</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Пост-продажные катамнестические клинические наблюдения выполняются на </w:t>
            </w:r>
            <w:r w:rsidR="00AA15C3" w:rsidRPr="00AA15C3">
              <w:rPr>
                <w:rFonts w:ascii="Arial CYR" w:hAnsi="Arial CYR" w:cs="Arial CYR"/>
                <w:color w:val="000000"/>
                <w:sz w:val="20"/>
                <w:szCs w:val="20"/>
              </w:rPr>
              <w:t>издели</w:t>
            </w:r>
            <w:r w:rsidR="00AA15C3">
              <w:rPr>
                <w:rFonts w:ascii="Arial CYR" w:hAnsi="Arial CYR" w:cs="Arial CYR"/>
                <w:color w:val="000000"/>
                <w:sz w:val="20"/>
                <w:szCs w:val="20"/>
              </w:rPr>
              <w:t xml:space="preserve">и </w:t>
            </w:r>
            <w:r w:rsidRPr="00454313">
              <w:rPr>
                <w:rFonts w:ascii="Arial CYR" w:hAnsi="Arial CYR" w:cs="Arial CYR"/>
                <w:color w:val="000000"/>
                <w:sz w:val="20"/>
                <w:szCs w:val="20"/>
              </w:rPr>
              <w:t>в пределах его предназначенного применения /цели(ей) согласно инструкциям по использованию. Важно отметить, что PMCF исследования должны проводиться согласно применимому законодательству и правилам и должно включать соответствующую методологию и следовать адекватным руководствам и стандартами.</w:t>
            </w:r>
          </w:p>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PMCF исследования должны быть намечены в общих чертах как хорошо разработанный план клинического исследования или план изучения, который, в случае необходимости, включает:</w:t>
            </w:r>
          </w:p>
        </w:tc>
      </w:tr>
      <w:tr w:rsidR="0020748A" w:rsidRPr="00454313" w:rsidTr="00824CCA">
        <w:tc>
          <w:tcPr>
            <w:tcW w:w="6529" w:type="dxa"/>
          </w:tcPr>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lastRenderedPageBreak/>
              <w:t>clearly stated research question(s), objective(s) and related endpoints;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scientifically sound design with an appropriate rationale and statistical analysis plan;</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a plan for conduct according to the appropriate standard(s);</w:t>
            </w:r>
          </w:p>
          <w:p w:rsidR="0020748A" w:rsidRPr="00454313" w:rsidRDefault="0020748A" w:rsidP="0020748A">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a plan for an analysis of the data and for drawing appropriate conclusion(s).</w:t>
            </w:r>
          </w:p>
        </w:tc>
        <w:tc>
          <w:tcPr>
            <w:tcW w:w="8167" w:type="dxa"/>
            <w:gridSpan w:val="2"/>
          </w:tcPr>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чётко поставленный вопрос(ы) исследования, цель(и) и связанные конечные результаты;</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научно обоснованная схема с соответствующим планом логического и статистического анализа;</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план проведения согласно адекватному стандарту(</w:t>
            </w:r>
            <w:proofErr w:type="spellStart"/>
            <w:r w:rsidRPr="00454313">
              <w:rPr>
                <w:rFonts w:ascii="Arial CYR" w:hAnsi="Arial CYR" w:cs="Arial CYR"/>
                <w:sz w:val="20"/>
                <w:szCs w:val="20"/>
              </w:rPr>
              <w:t>ам</w:t>
            </w:r>
            <w:proofErr w:type="spellEnd"/>
            <w:r w:rsidRPr="00454313">
              <w:rPr>
                <w:rFonts w:ascii="Arial CYR" w:hAnsi="Arial CYR" w:cs="Arial CYR"/>
                <w:sz w:val="20"/>
                <w:szCs w:val="20"/>
              </w:rPr>
              <w:t>);</w:t>
            </w:r>
          </w:p>
          <w:p w:rsidR="0020748A" w:rsidRPr="00454313" w:rsidRDefault="0020748A" w:rsidP="0020748A">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план по анализу данных и извлечению соответствующего вывода(</w:t>
            </w:r>
            <w:proofErr w:type="spellStart"/>
            <w:r w:rsidRPr="00454313">
              <w:rPr>
                <w:rFonts w:ascii="Arial CYR" w:hAnsi="Arial CYR" w:cs="Arial CYR"/>
                <w:sz w:val="20"/>
                <w:szCs w:val="20"/>
              </w:rPr>
              <w:t>ов</w:t>
            </w:r>
            <w:proofErr w:type="spellEnd"/>
            <w:r w:rsidRPr="00454313">
              <w:rPr>
                <w:rFonts w:ascii="Arial CYR" w:hAnsi="Arial CYR" w:cs="Arial CYR"/>
                <w:sz w:val="20"/>
                <w:szCs w:val="20"/>
              </w:rPr>
              <w:t>).</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Cambria" w:hAnsi="Cambria" w:cs="Cambria"/>
                <w:b/>
                <w:bCs/>
                <w:color w:val="4F81BD"/>
                <w:sz w:val="26"/>
                <w:szCs w:val="26"/>
                <w:lang w:val="en-GB"/>
              </w:rPr>
            </w:pPr>
            <w:r w:rsidRPr="00454313">
              <w:rPr>
                <w:rFonts w:ascii="Cambria" w:hAnsi="Cambria" w:cs="Cambria"/>
                <w:b/>
                <w:bCs/>
                <w:color w:val="4F81BD"/>
                <w:sz w:val="26"/>
                <w:szCs w:val="26"/>
                <w:lang w:val="en-GB"/>
              </w:rPr>
              <w:t>Objectives of PMCF studies</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Cambria" w:hAnsi="Cambria" w:cs="Cambria"/>
                <w:b/>
                <w:bCs/>
                <w:color w:val="4F81BD"/>
                <w:sz w:val="26"/>
                <w:szCs w:val="26"/>
              </w:rPr>
            </w:pPr>
            <w:r w:rsidRPr="00454313">
              <w:rPr>
                <w:rFonts w:ascii="Cambria" w:hAnsi="Cambria" w:cs="Cambria"/>
                <w:b/>
                <w:bCs/>
                <w:color w:val="4F81BD"/>
                <w:sz w:val="26"/>
                <w:szCs w:val="26"/>
              </w:rPr>
              <w:t>Цели PMCF исследований</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objective(s) of the study should be stated clearly and should address the residual risk(s) identified and be formulated to address one or more specific questions relating to the clinical safety or clinical performance of the device. A formal hypothesis should be clearly expressed.</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Цель(и) исследования должна быть чётко установлена и должна адресоваться к идентифицированному(</w:t>
            </w:r>
            <w:proofErr w:type="spellStart"/>
            <w:r w:rsidRPr="00454313">
              <w:rPr>
                <w:rFonts w:ascii="Arial CYR" w:hAnsi="Arial CYR" w:cs="Arial CYR"/>
                <w:color w:val="000000"/>
                <w:sz w:val="20"/>
                <w:szCs w:val="20"/>
              </w:rPr>
              <w:t>ым</w:t>
            </w:r>
            <w:proofErr w:type="spellEnd"/>
            <w:r w:rsidRPr="00454313">
              <w:rPr>
                <w:rFonts w:ascii="Arial CYR" w:hAnsi="Arial CYR" w:cs="Arial CYR"/>
                <w:color w:val="000000"/>
                <w:sz w:val="20"/>
                <w:szCs w:val="20"/>
              </w:rPr>
              <w:t>) остаточному риску(</w:t>
            </w:r>
            <w:proofErr w:type="spellStart"/>
            <w:r w:rsidRPr="00454313">
              <w:rPr>
                <w:rFonts w:ascii="Arial CYR" w:hAnsi="Arial CYR" w:cs="Arial CYR"/>
                <w:color w:val="000000"/>
                <w:sz w:val="20"/>
                <w:szCs w:val="20"/>
              </w:rPr>
              <w:t>ам</w:t>
            </w:r>
            <w:proofErr w:type="spellEnd"/>
            <w:r w:rsidRPr="00454313">
              <w:rPr>
                <w:rFonts w:ascii="Arial CYR" w:hAnsi="Arial CYR" w:cs="Arial CYR"/>
                <w:color w:val="000000"/>
                <w:sz w:val="20"/>
                <w:szCs w:val="20"/>
              </w:rPr>
              <w:t xml:space="preserve">) и быть так сформулирована, чтобы обратить внимание на один или более конкретных вопроса, касающихся клинической безопасности или клинического эффекта </w:t>
            </w:r>
            <w:r w:rsidR="00AA15C3">
              <w:rPr>
                <w:rFonts w:ascii="Arial CYR" w:hAnsi="Arial CYR" w:cs="Arial CYR"/>
                <w:color w:val="000000"/>
                <w:sz w:val="20"/>
                <w:szCs w:val="20"/>
              </w:rPr>
              <w:t>изделия</w:t>
            </w:r>
            <w:r w:rsidRPr="00454313">
              <w:rPr>
                <w:rFonts w:ascii="Arial CYR" w:hAnsi="Arial CYR" w:cs="Arial CYR"/>
                <w:color w:val="000000"/>
                <w:sz w:val="20"/>
                <w:szCs w:val="20"/>
              </w:rPr>
              <w:t>. Формальная гипотеза исследования должна быть чётко выражена.</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Cambria" w:hAnsi="Cambria" w:cs="Cambria"/>
                <w:b/>
                <w:bCs/>
                <w:color w:val="4F81BD"/>
                <w:sz w:val="26"/>
                <w:szCs w:val="26"/>
                <w:lang w:val="en-GB"/>
              </w:rPr>
            </w:pPr>
            <w:r w:rsidRPr="00454313">
              <w:rPr>
                <w:rFonts w:ascii="Cambria" w:hAnsi="Cambria" w:cs="Cambria"/>
                <w:b/>
                <w:bCs/>
                <w:color w:val="4F81BD"/>
                <w:sz w:val="26"/>
                <w:szCs w:val="26"/>
                <w:lang w:val="en-GB"/>
              </w:rPr>
              <w:t>Design of PMCF studies</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Cambria" w:hAnsi="Cambria" w:cs="Cambria"/>
                <w:b/>
                <w:bCs/>
                <w:color w:val="4F81BD"/>
                <w:sz w:val="26"/>
                <w:szCs w:val="26"/>
              </w:rPr>
            </w:pPr>
            <w:r w:rsidRPr="00454313">
              <w:rPr>
                <w:rFonts w:ascii="Cambria" w:hAnsi="Cambria" w:cs="Cambria"/>
                <w:b/>
                <w:bCs/>
                <w:color w:val="4F81BD"/>
                <w:sz w:val="26"/>
                <w:szCs w:val="26"/>
              </w:rPr>
              <w:t>Схема PMCF исследований</w:t>
            </w:r>
          </w:p>
        </w:tc>
      </w:tr>
      <w:tr w:rsidR="0020748A" w:rsidRPr="00454313" w:rsidTr="00824CCA">
        <w:tc>
          <w:tcPr>
            <w:tcW w:w="6529" w:type="dxa"/>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PMCF studies should be designed to address the objective(s) of the study. The design may vary based on the objective(s), study hypothesis research question and endpoints and should be scientifically sound to allow for valid conclusions to be drawn.</w:t>
            </w:r>
          </w:p>
        </w:tc>
        <w:tc>
          <w:tcPr>
            <w:tcW w:w="8167" w:type="dxa"/>
            <w:gridSpan w:val="2"/>
          </w:tcPr>
          <w:p w:rsidR="0020748A" w:rsidRPr="00454313" w:rsidRDefault="0020748A" w:rsidP="0020748A">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PMCF исследования должны быть ориентированы на цель(и) исследования. Схема исследований может варьироваться в зависимости от цели(ей), гипотезы исследования, изучаемых вопросов и конечных результатов и должно быть научно обоснованным для обеспечения надёжных выводов, которые можно сделать.</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PMCF studies can follow several methodologies, for example:</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the extended follow-up of patients enrolled in premarket investigations;</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a new clinical investigation;</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a review of data derived from a device registry; or</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a review of relevant retrospective data from patients previously exposed to the device.</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PMCF исследования могут следовать нескольким методологиями, </w:t>
            </w:r>
            <w:proofErr w:type="gramStart"/>
            <w:r w:rsidRPr="00454313">
              <w:rPr>
                <w:rFonts w:ascii="Arial CYR" w:hAnsi="Arial CYR" w:cs="Arial CYR"/>
                <w:color w:val="000000"/>
                <w:sz w:val="20"/>
                <w:szCs w:val="20"/>
              </w:rPr>
              <w:t>например</w:t>
            </w:r>
            <w:proofErr w:type="gramEnd"/>
            <w:r w:rsidRPr="00454313">
              <w:rPr>
                <w:rFonts w:ascii="Arial CYR" w:hAnsi="Arial CYR" w:cs="Arial CYR"/>
                <w:color w:val="000000"/>
                <w:sz w:val="20"/>
                <w:szCs w:val="20"/>
              </w:rPr>
              <w:t>:</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rPr>
            </w:pPr>
            <w:r w:rsidRPr="00454313">
              <w:rPr>
                <w:rFonts w:ascii="Arial CYR" w:hAnsi="Arial CYR" w:cs="Arial CYR"/>
                <w:sz w:val="20"/>
                <w:szCs w:val="20"/>
              </w:rPr>
              <w:t>продолжение</w:t>
            </w:r>
            <w:r w:rsidRPr="00454313">
              <w:rPr>
                <w:rFonts w:ascii="Arial CYR" w:hAnsi="Arial CYR" w:cs="Arial CYR"/>
                <w:color w:val="000000"/>
                <w:sz w:val="20"/>
                <w:szCs w:val="20"/>
              </w:rPr>
              <w:t xml:space="preserve"> катамнестического наблюдения пациентов, включённых в предпродажные исследования;</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rPr>
            </w:pPr>
            <w:r w:rsidRPr="00454313">
              <w:rPr>
                <w:rFonts w:ascii="Arial CYR" w:hAnsi="Arial CYR" w:cs="Arial CYR"/>
                <w:color w:val="000000"/>
                <w:sz w:val="20"/>
                <w:szCs w:val="20"/>
              </w:rPr>
              <w:t>новое клиническое исследование (перспективное исследование);</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rPr>
            </w:pPr>
            <w:r w:rsidRPr="00454313">
              <w:rPr>
                <w:rFonts w:ascii="Arial CYR" w:hAnsi="Arial CYR" w:cs="Arial CYR"/>
                <w:color w:val="000000"/>
                <w:sz w:val="20"/>
                <w:szCs w:val="20"/>
              </w:rPr>
              <w:t xml:space="preserve">обзор данных, полученных от Реестра </w:t>
            </w:r>
            <w:r w:rsidR="00AA15C3">
              <w:rPr>
                <w:rFonts w:ascii="Arial CYR" w:hAnsi="Arial CYR" w:cs="Arial CYR"/>
                <w:color w:val="000000"/>
                <w:sz w:val="20"/>
                <w:szCs w:val="20"/>
              </w:rPr>
              <w:t>изделия</w:t>
            </w:r>
            <w:r w:rsidRPr="00454313">
              <w:rPr>
                <w:rFonts w:ascii="Arial CYR" w:hAnsi="Arial CYR" w:cs="Arial CYR"/>
                <w:color w:val="000000"/>
                <w:sz w:val="20"/>
                <w:szCs w:val="20"/>
              </w:rPr>
              <w:t>; или</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rPr>
            </w:pPr>
            <w:r w:rsidRPr="00454313">
              <w:rPr>
                <w:rFonts w:ascii="Arial CYR" w:hAnsi="Arial CYR" w:cs="Arial CYR"/>
                <w:color w:val="000000"/>
                <w:sz w:val="20"/>
                <w:szCs w:val="20"/>
              </w:rPr>
              <w:t>обзор соответствующих ретроспективных данных от пациентов, ранее подвергнутых воздействию МИ</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Arial" w:hAnsi="Arial" w:cs="Arial"/>
                <w:color w:val="000000"/>
                <w:sz w:val="20"/>
                <w:szCs w:val="20"/>
                <w:lang w:val="en-GB"/>
              </w:rPr>
            </w:pPr>
            <w:r w:rsidRPr="00454313">
              <w:rPr>
                <w:rFonts w:ascii="Arial" w:hAnsi="Arial" w:cs="Arial"/>
                <w:color w:val="000000"/>
                <w:sz w:val="20"/>
                <w:szCs w:val="20"/>
                <w:lang w:val="en-GB"/>
              </w:rPr>
              <w:t>PMCF studies should have a plan describing the design and methodologies appropriate for addressing the stated objectives. The clinical investigation plan/study plan should identify and where needed justify at a minimum:</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Arial" w:hAnsi="Arial" w:cs="Arial"/>
                <w:color w:val="000000"/>
                <w:sz w:val="20"/>
                <w:szCs w:val="20"/>
              </w:rPr>
            </w:pPr>
            <w:r w:rsidRPr="00454313">
              <w:rPr>
                <w:rFonts w:ascii="Arial" w:hAnsi="Arial" w:cs="Arial"/>
                <w:color w:val="000000"/>
                <w:sz w:val="20"/>
                <w:szCs w:val="20"/>
              </w:rPr>
              <w:t>У PMCF исследований должен быть план, описывающий планирование и методологии</w:t>
            </w:r>
            <w:r w:rsidRPr="00454313">
              <w:t xml:space="preserve"> </w:t>
            </w:r>
            <w:r w:rsidRPr="00454313">
              <w:rPr>
                <w:rFonts w:ascii="Arial" w:hAnsi="Arial" w:cs="Arial"/>
                <w:color w:val="000000"/>
                <w:sz w:val="20"/>
                <w:szCs w:val="20"/>
              </w:rPr>
              <w:t xml:space="preserve">для решения поставленных задач. </w:t>
            </w:r>
            <w:r w:rsidRPr="00454313">
              <w:rPr>
                <w:rFonts w:ascii="Arial CYR" w:hAnsi="Arial CYR" w:cs="Arial CYR"/>
                <w:color w:val="000000"/>
                <w:sz w:val="20"/>
                <w:szCs w:val="20"/>
              </w:rPr>
              <w:t>План клинического исследования (план изучения)</w:t>
            </w:r>
            <w:r w:rsidRPr="00454313">
              <w:rPr>
                <w:rFonts w:ascii="Arial" w:hAnsi="Arial" w:cs="Arial"/>
                <w:color w:val="000000"/>
                <w:sz w:val="20"/>
                <w:szCs w:val="20"/>
              </w:rPr>
              <w:t xml:space="preserve"> должен идентифицировать, а где необходимо и подтвердить, как минимум:</w:t>
            </w:r>
          </w:p>
        </w:tc>
      </w:tr>
      <w:tr w:rsidR="00956687" w:rsidRPr="00454313" w:rsidTr="00824CCA">
        <w:tc>
          <w:tcPr>
            <w:tcW w:w="6529" w:type="dxa"/>
          </w:tcPr>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the study population (corresponding to the CE-mark scope);</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inclusion/exclusion criteria;</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rational and justification of the chosen study design including use of controls/control groups (where relevant; randomized or not);</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the selection of sites and investigators;</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study objectives and related study endpoints and statistical considerations;</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the number of subjects involved;</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the duration of patient follow-up;</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the data to be collected;</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the analysis plan including any interim reporting where appropriate to ensure continuous risk management based on clinical data; and</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procedures/criteria for early study termination;</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t>ethical considerations;</w:t>
            </w:r>
          </w:p>
          <w:p w:rsidR="00956687" w:rsidRPr="00454313" w:rsidRDefault="00956687" w:rsidP="00956687">
            <w:pPr>
              <w:widowControl w:val="0"/>
              <w:numPr>
                <w:ilvl w:val="0"/>
                <w:numId w:val="3"/>
              </w:numPr>
              <w:autoSpaceDE w:val="0"/>
              <w:autoSpaceDN w:val="0"/>
              <w:adjustRightInd w:val="0"/>
              <w:spacing w:after="0" w:line="240" w:lineRule="auto"/>
              <w:ind w:left="284" w:hanging="284"/>
              <w:rPr>
                <w:rFonts w:ascii="Arial" w:hAnsi="Arial" w:cs="Arial"/>
                <w:color w:val="000000"/>
                <w:sz w:val="20"/>
                <w:szCs w:val="20"/>
                <w:lang w:val="en-GB"/>
              </w:rPr>
            </w:pPr>
            <w:r w:rsidRPr="00454313">
              <w:rPr>
                <w:rFonts w:ascii="Arial" w:hAnsi="Arial" w:cs="Arial"/>
                <w:color w:val="000000"/>
                <w:sz w:val="20"/>
                <w:szCs w:val="20"/>
                <w:lang w:val="en-GB"/>
              </w:rPr>
              <w:lastRenderedPageBreak/>
              <w:t>methods of quality control of data where appropriate.</w:t>
            </w:r>
          </w:p>
        </w:tc>
        <w:tc>
          <w:tcPr>
            <w:tcW w:w="8167" w:type="dxa"/>
            <w:gridSpan w:val="2"/>
          </w:tcPr>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lastRenderedPageBreak/>
              <w:t>популяцию, вошедшую в исследование (соответствующую области CE-маркировки);</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критерии включений/исключения;</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 xml:space="preserve">рациональный и обоснованный выбор схемы исследования включая использование контрольных групп (в соответствующих случаях; </w:t>
            </w:r>
            <w:proofErr w:type="spellStart"/>
            <w:r w:rsidRPr="00454313">
              <w:rPr>
                <w:rFonts w:ascii="Arial" w:hAnsi="Arial" w:cs="Arial"/>
                <w:color w:val="000000"/>
                <w:sz w:val="20"/>
                <w:szCs w:val="20"/>
              </w:rPr>
              <w:t>рандомизированных</w:t>
            </w:r>
            <w:proofErr w:type="spellEnd"/>
            <w:r w:rsidRPr="00454313">
              <w:rPr>
                <w:rFonts w:ascii="Arial" w:hAnsi="Arial" w:cs="Arial"/>
                <w:color w:val="000000"/>
                <w:sz w:val="20"/>
                <w:szCs w:val="20"/>
              </w:rPr>
              <w:t xml:space="preserve"> или нет);</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выбор мест и исследователей;</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цели исследования, связанные результаты исследования и статистические соображения;</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количество привлекаемых пациентов;</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продолжительность наблюдения пациента;</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данные, которые должны быть собраны;</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 xml:space="preserve">план анализа, включая любую промежуточную отчётность, где предназначено </w:t>
            </w:r>
            <w:r w:rsidRPr="00454313">
              <w:rPr>
                <w:rFonts w:ascii="Arial" w:hAnsi="Arial" w:cs="Arial"/>
                <w:color w:val="000000"/>
                <w:sz w:val="20"/>
                <w:szCs w:val="20"/>
              </w:rPr>
              <w:lastRenderedPageBreak/>
              <w:t>обеспечить непрерывное управление рисками на основе на клинических данных;</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и процедуры/критерии досрочного завершения исследования;</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этические соображения;</w:t>
            </w:r>
          </w:p>
          <w:p w:rsidR="00956687" w:rsidRPr="00454313" w:rsidRDefault="00956687" w:rsidP="00956687">
            <w:pPr>
              <w:widowControl w:val="0"/>
              <w:numPr>
                <w:ilvl w:val="0"/>
                <w:numId w:val="1"/>
              </w:numPr>
              <w:autoSpaceDE w:val="0"/>
              <w:autoSpaceDN w:val="0"/>
              <w:adjustRightInd w:val="0"/>
              <w:spacing w:after="0" w:line="240" w:lineRule="auto"/>
              <w:ind w:left="459" w:hanging="426"/>
              <w:rPr>
                <w:rFonts w:ascii="Arial" w:hAnsi="Arial" w:cs="Arial"/>
                <w:color w:val="000000"/>
                <w:sz w:val="20"/>
                <w:szCs w:val="20"/>
              </w:rPr>
            </w:pPr>
            <w:r w:rsidRPr="00454313">
              <w:rPr>
                <w:rFonts w:ascii="Arial" w:hAnsi="Arial" w:cs="Arial"/>
                <w:color w:val="000000"/>
                <w:sz w:val="20"/>
                <w:szCs w:val="20"/>
              </w:rPr>
              <w:t>методы контроля качества данных, где необходимо.</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lastRenderedPageBreak/>
              <w:t>The points above may not all apply to a retrospective data review.</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Указанные выше пункты возможно не все могут применяться к ретроспективному анализу данных.</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Cambria" w:hAnsi="Cambria" w:cs="Cambria"/>
                <w:b/>
                <w:bCs/>
                <w:color w:val="4F81BD"/>
                <w:sz w:val="26"/>
                <w:szCs w:val="26"/>
                <w:lang w:val="en-GB"/>
              </w:rPr>
            </w:pPr>
            <w:r w:rsidRPr="00454313">
              <w:rPr>
                <w:rFonts w:ascii="Cambria" w:hAnsi="Cambria" w:cs="Cambria"/>
                <w:b/>
                <w:bCs/>
                <w:color w:val="4F81BD"/>
                <w:sz w:val="26"/>
                <w:szCs w:val="26"/>
                <w:lang w:val="en-GB"/>
              </w:rPr>
              <w:t>Implementation of the PMCF study, analysis of data and conclusion(s)</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Cambria" w:hAnsi="Cambria" w:cs="Cambria"/>
                <w:b/>
                <w:bCs/>
                <w:color w:val="4F81BD"/>
                <w:sz w:val="26"/>
                <w:szCs w:val="26"/>
              </w:rPr>
            </w:pPr>
            <w:r w:rsidRPr="00454313">
              <w:rPr>
                <w:rFonts w:ascii="Cambria" w:hAnsi="Cambria" w:cs="Cambria"/>
                <w:b/>
                <w:bCs/>
                <w:color w:val="4F81BD"/>
                <w:sz w:val="26"/>
                <w:szCs w:val="26"/>
              </w:rPr>
              <w:t>Выполнение PMCF исследования, анализ данных и вывод(ы)</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study should:</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be executed with adequate control measures to assure compliance with the clinical investigation or study plan;</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include data analysis with conclusions drawn according to the analysis plan by someone with appropriate expertise; and</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have a final report with conclusions relating back to original objective(s) and hypothesis/hypotheses.</w:t>
            </w:r>
          </w:p>
        </w:tc>
        <w:tc>
          <w:tcPr>
            <w:tcW w:w="8167" w:type="dxa"/>
            <w:gridSpan w:val="2"/>
          </w:tcPr>
          <w:p w:rsidR="00956687" w:rsidRPr="00454313" w:rsidRDefault="00956687" w:rsidP="00956687">
            <w:pPr>
              <w:widowControl w:val="0"/>
              <w:autoSpaceDE w:val="0"/>
              <w:autoSpaceDN w:val="0"/>
              <w:adjustRightInd w:val="0"/>
              <w:spacing w:after="0" w:line="240" w:lineRule="auto"/>
              <w:ind w:left="317" w:hanging="284"/>
              <w:rPr>
                <w:rFonts w:ascii="Arial CYR" w:hAnsi="Arial CYR" w:cs="Arial CYR"/>
                <w:color w:val="000000"/>
                <w:sz w:val="20"/>
                <w:szCs w:val="20"/>
              </w:rPr>
            </w:pPr>
            <w:r w:rsidRPr="00454313">
              <w:rPr>
                <w:rFonts w:ascii="Arial CYR" w:hAnsi="Arial CYR" w:cs="Arial CYR"/>
                <w:color w:val="000000"/>
                <w:sz w:val="20"/>
                <w:szCs w:val="20"/>
              </w:rPr>
              <w:t>Исследование должно:</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быть выполнено с адекватными мерами контроля, чтобы гарантировать соответствие клиническому исследованию или плану изучения;</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включать анализ данных с выводами, сделанными кем-то согласно аналитического плана с адекватной экспертизой; и</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color w:val="000000"/>
                <w:sz w:val="20"/>
                <w:szCs w:val="20"/>
              </w:rPr>
            </w:pPr>
            <w:r w:rsidRPr="00454313">
              <w:rPr>
                <w:rFonts w:ascii="Arial CYR" w:hAnsi="Arial CYR" w:cs="Arial CYR"/>
                <w:sz w:val="20"/>
                <w:szCs w:val="20"/>
              </w:rPr>
              <w:t>иметь итоговый отчёт с заключениями, имеющими отношение к первоначальной цели(ям) и гипотезе/гипотезам.</w:t>
            </w:r>
          </w:p>
        </w:tc>
      </w:tr>
      <w:tr w:rsidR="00956687" w:rsidRPr="00454313" w:rsidTr="00824CCA">
        <w:tc>
          <w:tcPr>
            <w:tcW w:w="14696" w:type="dxa"/>
            <w:gridSpan w:val="3"/>
            <w:shd w:val="clear" w:color="auto" w:fill="FBD4B4" w:themeFill="accent6" w:themeFillTint="66"/>
          </w:tcPr>
          <w:p w:rsidR="00956687" w:rsidRPr="00454313" w:rsidRDefault="00956687" w:rsidP="00956687">
            <w:pPr>
              <w:widowControl w:val="0"/>
              <w:autoSpaceDE w:val="0"/>
              <w:autoSpaceDN w:val="0"/>
              <w:adjustRightInd w:val="0"/>
              <w:spacing w:after="0" w:line="240" w:lineRule="auto"/>
              <w:rPr>
                <w:rFonts w:ascii="Arial CYR" w:hAnsi="Arial CYR" w:cs="Arial CYR"/>
                <w:bCs/>
                <w:color w:val="000000"/>
                <w:sz w:val="20"/>
                <w:szCs w:val="20"/>
              </w:rPr>
            </w:pPr>
            <w:r w:rsidRPr="00454313">
              <w:rPr>
                <w:rFonts w:ascii="Arial CYR" w:hAnsi="Arial CYR" w:cs="Arial CYR"/>
                <w:bCs/>
                <w:color w:val="000000"/>
                <w:sz w:val="20"/>
                <w:szCs w:val="20"/>
              </w:rPr>
              <w:t>См. также: Приложения Г,Д и Е в Методических рекомендациях Росздравнадзора по порядку проведения экспертизы качества, эффективности и безопасности медицинских изделий (для документов, поданных для регистрации после 01.01.2013) от 14 ноября 2013 года</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7. The use of study data</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7. Использование данных исследования</w:t>
            </w:r>
            <w:r w:rsidRPr="00454313">
              <w:rPr>
                <w:rStyle w:val="a5"/>
                <w:rFonts w:ascii="Cambria" w:hAnsi="Cambria" w:cs="Cambria"/>
                <w:b/>
                <w:bCs/>
                <w:color w:val="365F91"/>
                <w:sz w:val="28"/>
                <w:szCs w:val="28"/>
              </w:rPr>
              <w:footnoteReference w:id="7"/>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data and conclusions derived from the PMCF study are used to provide clinical evidence for the clinical evaluation process. This may result in the need to reassess whether the device continues to comply with the Essential Requirements. Such assessment may result in corrective or preventive actions, for example changes to the labelling/instructions for use, changes to manufacturing processes, changes to the device design, or public health notifications.</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Данные и выводы, полученные в результате PMCF исследования, используются для обеспечения клинических подтверждений процесса клинической оценки. Это может привести к необходимости переоценки, продолжает ли </w:t>
            </w:r>
            <w:r w:rsidR="00AA15C3" w:rsidRPr="00AA15C3">
              <w:rPr>
                <w:rFonts w:ascii="Arial CYR" w:hAnsi="Arial CYR" w:cs="Arial CYR"/>
                <w:color w:val="000000"/>
                <w:sz w:val="20"/>
                <w:szCs w:val="20"/>
              </w:rPr>
              <w:t>издели</w:t>
            </w:r>
            <w:r w:rsidR="00AA15C3">
              <w:rPr>
                <w:rFonts w:ascii="Arial CYR" w:hAnsi="Arial CYR" w:cs="Arial CYR"/>
                <w:color w:val="000000"/>
                <w:sz w:val="20"/>
                <w:szCs w:val="20"/>
              </w:rPr>
              <w:t xml:space="preserve">е </w:t>
            </w:r>
            <w:r w:rsidRPr="00454313">
              <w:rPr>
                <w:rFonts w:ascii="Arial CYR" w:hAnsi="Arial CYR" w:cs="Arial CYR"/>
                <w:color w:val="000000"/>
                <w:sz w:val="20"/>
                <w:szCs w:val="20"/>
              </w:rPr>
              <w:t xml:space="preserve">соответствовать Существенным Требованиям. Такая оценка может закончиться корректирующими или предупреждающими действиями, например изменений маркировки/инструкций по использованию, изменений производственных процессов, изменений в конструкции </w:t>
            </w:r>
            <w:r w:rsidR="00AA15C3">
              <w:rPr>
                <w:rFonts w:ascii="Arial CYR" w:hAnsi="Arial CYR" w:cs="Arial CYR"/>
                <w:color w:val="000000"/>
                <w:sz w:val="20"/>
                <w:szCs w:val="20"/>
              </w:rPr>
              <w:t>изделия</w:t>
            </w:r>
            <w:r w:rsidRPr="00454313">
              <w:rPr>
                <w:rFonts w:ascii="Arial CYR" w:hAnsi="Arial CYR" w:cs="Arial CYR"/>
                <w:color w:val="000000"/>
                <w:sz w:val="20"/>
                <w:szCs w:val="20"/>
              </w:rPr>
              <w:t>, или уведомления здравоохранения.</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Cambria" w:hAnsi="Cambria" w:cs="Cambria"/>
                <w:b/>
                <w:bCs/>
                <w:color w:val="365F91"/>
                <w:sz w:val="28"/>
                <w:szCs w:val="28"/>
                <w:lang w:val="en-GB"/>
              </w:rPr>
            </w:pPr>
            <w:r w:rsidRPr="00454313">
              <w:rPr>
                <w:rFonts w:ascii="Cambria" w:hAnsi="Cambria" w:cs="Cambria"/>
                <w:b/>
                <w:bCs/>
                <w:color w:val="365F91"/>
                <w:sz w:val="28"/>
                <w:szCs w:val="28"/>
                <w:lang w:val="en-GB"/>
              </w:rPr>
              <w:t>8. The role of the notified body in PMCF</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Cambria" w:hAnsi="Cambria" w:cs="Cambria"/>
                <w:b/>
                <w:bCs/>
                <w:color w:val="365F91"/>
                <w:sz w:val="28"/>
                <w:szCs w:val="28"/>
              </w:rPr>
            </w:pPr>
            <w:r w:rsidRPr="00454313">
              <w:rPr>
                <w:rFonts w:ascii="Cambria" w:hAnsi="Cambria" w:cs="Cambria"/>
                <w:b/>
                <w:bCs/>
                <w:color w:val="365F91"/>
                <w:sz w:val="28"/>
                <w:szCs w:val="28"/>
              </w:rPr>
              <w:t>8. Роль Нотифицированного органа в PMCF</w:t>
            </w:r>
          </w:p>
        </w:tc>
      </w:tr>
      <w:tr w:rsidR="00956687" w:rsidRPr="00454313" w:rsidTr="00824CCA">
        <w:tc>
          <w:tcPr>
            <w:tcW w:w="6529" w:type="dxa"/>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When auditing the quality system of the manufacturer in the framework of one of the conformity assessment annexes of Directive 90/385/EEC or of Directive 93/42/EEC, the Notified Body (NB) shall review the appropriateness of the manufacturer’s general post-market surveillance procedures and plans, including plans for PMCF, as relevant.</w:t>
            </w:r>
          </w:p>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Notified Body shall verify that PMCF as part of the overall clinical evaluation is conducted by or on behalf of the manufacturer by appropriately competent assessors (as per section 10.3 of MEDDEV 2.7/1).</w:t>
            </w:r>
          </w:p>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t>The NB shall verify that clinical investigations conducted as part of PMCF plans are conducted in accordance with the relevant provisions of Annex X (as per Article 15.8 of 93/42/EEC), related guidance and relevant standards.</w:t>
            </w:r>
          </w:p>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lang w:val="en-GB"/>
              </w:rPr>
            </w:pPr>
            <w:r w:rsidRPr="00454313">
              <w:rPr>
                <w:rFonts w:ascii="Arial CYR" w:hAnsi="Arial CYR" w:cs="Arial CYR"/>
                <w:color w:val="000000"/>
                <w:sz w:val="20"/>
                <w:szCs w:val="20"/>
                <w:lang w:val="en-GB"/>
              </w:rPr>
              <w:lastRenderedPageBreak/>
              <w:t>The NB shall as part of its assessment of a specific medical device:</w:t>
            </w:r>
          </w:p>
        </w:tc>
        <w:tc>
          <w:tcPr>
            <w:tcW w:w="8167" w:type="dxa"/>
            <w:gridSpan w:val="2"/>
          </w:tcPr>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lastRenderedPageBreak/>
              <w:t>Проводя аудит системы качества производителя в рамках одного из приложений Директивы 90/385/EEC или Директивы 93/42/EEC по оценке соответствия, Нотифицированный орган (NB) должен рассмотреть адекватность общих процедур и планов производителя по пост-продажному наблюдению (PMS), включая планы для PMCF, в зависимости от того, что применимо.</w:t>
            </w:r>
          </w:p>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Нотифицированный орган должен </w:t>
            </w:r>
            <w:r w:rsidRPr="00454313">
              <w:t>убедиться</w:t>
            </w:r>
            <w:r w:rsidRPr="00454313">
              <w:rPr>
                <w:rFonts w:ascii="Arial CYR" w:hAnsi="Arial CYR" w:cs="Arial CYR"/>
                <w:color w:val="000000"/>
                <w:sz w:val="20"/>
                <w:szCs w:val="20"/>
              </w:rPr>
              <w:t>, что PMCF, как часть всеобъемлющей клинической оценки, проводится производителем или по его поручению соответственно компетентными экспертами (согласно разделу 10.3 из MEDDEV 2.7/1).</w:t>
            </w:r>
          </w:p>
          <w:p w:rsidR="00956687" w:rsidRPr="00454313" w:rsidRDefault="00956687" w:rsidP="00956687">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t xml:space="preserve">NB должен </w:t>
            </w:r>
            <w:r w:rsidRPr="00454313">
              <w:t>убедиться</w:t>
            </w:r>
            <w:r w:rsidRPr="00454313">
              <w:rPr>
                <w:rFonts w:ascii="Arial CYR" w:hAnsi="Arial CYR" w:cs="Arial CYR"/>
                <w:color w:val="000000"/>
                <w:sz w:val="20"/>
                <w:szCs w:val="20"/>
              </w:rPr>
              <w:t>, что клинические исследования, проведённые как часть планов PMCF, проводятся в соответствии с существенными условиями Приложения X (согласно Статьи 15.8 Директивы 93/42/EEC), связанными руководствами и соответствующими стандартами.</w:t>
            </w:r>
          </w:p>
          <w:p w:rsidR="00956687" w:rsidRPr="00454313" w:rsidRDefault="00956687" w:rsidP="00AA15C3">
            <w:pPr>
              <w:widowControl w:val="0"/>
              <w:autoSpaceDE w:val="0"/>
              <w:autoSpaceDN w:val="0"/>
              <w:adjustRightInd w:val="0"/>
              <w:spacing w:after="0" w:line="240" w:lineRule="auto"/>
              <w:rPr>
                <w:rFonts w:ascii="Arial CYR" w:hAnsi="Arial CYR" w:cs="Arial CYR"/>
                <w:color w:val="000000"/>
                <w:sz w:val="20"/>
                <w:szCs w:val="20"/>
              </w:rPr>
            </w:pPr>
            <w:r w:rsidRPr="00454313">
              <w:rPr>
                <w:rFonts w:ascii="Arial CYR" w:hAnsi="Arial CYR" w:cs="Arial CYR"/>
                <w:color w:val="000000"/>
                <w:sz w:val="20"/>
                <w:szCs w:val="20"/>
              </w:rPr>
              <w:lastRenderedPageBreak/>
              <w:t>NB должен в рамках своей оценки конкретного</w:t>
            </w:r>
            <w:r w:rsidR="00AA15C3">
              <w:rPr>
                <w:rFonts w:ascii="Arial CYR" w:hAnsi="Arial CYR" w:cs="Arial CYR"/>
                <w:color w:val="000000"/>
                <w:sz w:val="20"/>
                <w:szCs w:val="20"/>
              </w:rPr>
              <w:t xml:space="preserve"> МИ</w:t>
            </w:r>
            <w:r w:rsidRPr="00454313">
              <w:rPr>
                <w:rFonts w:ascii="Arial CYR" w:hAnsi="Arial CYR" w:cs="Arial CYR"/>
                <w:color w:val="000000"/>
                <w:sz w:val="20"/>
                <w:szCs w:val="20"/>
              </w:rPr>
              <w:t>:</w:t>
            </w:r>
          </w:p>
        </w:tc>
      </w:tr>
      <w:tr w:rsidR="00956687" w:rsidRPr="0011603F" w:rsidTr="00824CCA">
        <w:tc>
          <w:tcPr>
            <w:tcW w:w="6529" w:type="dxa"/>
          </w:tcPr>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lastRenderedPageBreak/>
              <w:t>verify that the manufacturer has appropriately considered the need for PMCF as part of post-market surveillance based on the residual risks including those identified from the results of the clinical evaluation and from the characteristics of the medical device in accordance with section 5 of the guidance;</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verify that PMCF is conducted when clinical evaluation was based exclusively on clinical data from equivalent devices for initial conformity assessment and that PMCF addresses the residual risks identified for the equivalent devices;</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assess the appropriateness of any justification presented by a manufacturer for not conducting a specific PMCF plan as part of post-market surveillance and seek appropriate remedy where the justification is not valid;</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assess the appropriateness of the proposed PMCF plan in demonstrating the manufacturer’s stated objectives and addressing the residual risks and issues of long term clinical performance and safety identified for the specific device;</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 xml:space="preserve">verify that data gathered by the manufacturer from PMCF, whether </w:t>
            </w:r>
            <w:proofErr w:type="spellStart"/>
            <w:r w:rsidRPr="00454313">
              <w:rPr>
                <w:rFonts w:ascii="Arial CYR" w:hAnsi="Arial CYR" w:cs="Arial CYR"/>
                <w:color w:val="000000"/>
                <w:sz w:val="20"/>
                <w:szCs w:val="20"/>
                <w:lang w:val="en-GB"/>
              </w:rPr>
              <w:t>favorable</w:t>
            </w:r>
            <w:proofErr w:type="spellEnd"/>
            <w:r w:rsidRPr="00454313">
              <w:rPr>
                <w:rFonts w:ascii="Arial CYR" w:hAnsi="Arial CYR" w:cs="Arial CYR"/>
                <w:color w:val="000000"/>
                <w:sz w:val="20"/>
                <w:szCs w:val="20"/>
                <w:lang w:val="en-GB"/>
              </w:rPr>
              <w:t xml:space="preserve"> or </w:t>
            </w:r>
            <w:proofErr w:type="spellStart"/>
            <w:r w:rsidRPr="00454313">
              <w:rPr>
                <w:rFonts w:ascii="Arial CYR" w:hAnsi="Arial CYR" w:cs="Arial CYR"/>
                <w:color w:val="000000"/>
                <w:sz w:val="20"/>
                <w:szCs w:val="20"/>
                <w:lang w:val="en-GB"/>
              </w:rPr>
              <w:t>unfavorable</w:t>
            </w:r>
            <w:proofErr w:type="spellEnd"/>
            <w:r w:rsidRPr="00454313">
              <w:rPr>
                <w:rFonts w:ascii="Arial CYR" w:hAnsi="Arial CYR" w:cs="Arial CYR"/>
                <w:color w:val="000000"/>
                <w:sz w:val="20"/>
                <w:szCs w:val="20"/>
                <w:lang w:val="en-GB"/>
              </w:rPr>
              <w:t>, is being used to actively update the clinical evaluation (as well as the risk management system);</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consider whether, based on the specific device assessment, data obtained from PMCF should be transmitted to the NB between scheduled assessment activities (e.g. surveillance audit, recertification assessment);</w:t>
            </w:r>
          </w:p>
          <w:p w:rsidR="00956687" w:rsidRPr="00454313" w:rsidRDefault="00956687" w:rsidP="00956687">
            <w:pPr>
              <w:pStyle w:val="a7"/>
              <w:widowControl w:val="0"/>
              <w:numPr>
                <w:ilvl w:val="0"/>
                <w:numId w:val="7"/>
              </w:numPr>
              <w:autoSpaceDE w:val="0"/>
              <w:autoSpaceDN w:val="0"/>
              <w:adjustRightInd w:val="0"/>
              <w:spacing w:after="0" w:line="240" w:lineRule="auto"/>
              <w:ind w:left="142" w:hanging="142"/>
              <w:rPr>
                <w:rFonts w:ascii="Arial CYR" w:hAnsi="Arial CYR" w:cs="Arial CYR"/>
                <w:color w:val="000000"/>
                <w:sz w:val="20"/>
                <w:szCs w:val="20"/>
                <w:lang w:val="en-GB"/>
              </w:rPr>
            </w:pPr>
            <w:r w:rsidRPr="00454313">
              <w:rPr>
                <w:rFonts w:ascii="Arial CYR" w:hAnsi="Arial CYR" w:cs="Arial CYR"/>
                <w:color w:val="000000"/>
                <w:sz w:val="20"/>
                <w:szCs w:val="20"/>
                <w:lang w:val="en-GB"/>
              </w:rPr>
              <w:t>consider an appropriate period for certification of the product in order to set a particular time point at which PMCF data will be assessed by the NB or specific conditions relating to certification for subsequent follow up. (This decision may be based on the residual risks, the characteristics presented in section 5 and the clinical evaluation presented at the time of initial assessment. Conditions the NB may consider could include the need for the manufacturer to submit interim reports between certification reviews, of the clinical data generated from the PMCF and post-market surveillance system).</w:t>
            </w:r>
          </w:p>
        </w:tc>
        <w:tc>
          <w:tcPr>
            <w:tcW w:w="8167" w:type="dxa"/>
            <w:gridSpan w:val="2"/>
          </w:tcPr>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 xml:space="preserve">верифицировать, что производитель соответственно рассматривал в качестве потребности в PMCF как части пост-продажного наблюдения (PMS) основываясь на остаточных рисках включая идентифицированные по результатам клинической оценки и от характеристик </w:t>
            </w:r>
            <w:r w:rsidR="00AA15C3">
              <w:rPr>
                <w:rFonts w:ascii="Arial CYR" w:hAnsi="Arial CYR" w:cs="Arial CYR"/>
                <w:sz w:val="20"/>
                <w:szCs w:val="20"/>
              </w:rPr>
              <w:t>МИ</w:t>
            </w:r>
            <w:r w:rsidRPr="00454313">
              <w:rPr>
                <w:rFonts w:ascii="Arial CYR" w:hAnsi="Arial CYR" w:cs="Arial CYR"/>
                <w:sz w:val="20"/>
                <w:szCs w:val="20"/>
              </w:rPr>
              <w:t xml:space="preserve"> в соответствии с разделом 5 из руководства;</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 xml:space="preserve">верифицировать, что PMCF проводится, когда клиническая оценка базируется исключительно на клинических данных от эквивалентных </w:t>
            </w:r>
            <w:r w:rsidR="00AA15C3">
              <w:rPr>
                <w:rFonts w:ascii="Arial CYR" w:hAnsi="Arial CYR" w:cs="Arial CYR"/>
                <w:sz w:val="20"/>
                <w:szCs w:val="20"/>
              </w:rPr>
              <w:t>изделий</w:t>
            </w:r>
            <w:r w:rsidRPr="00454313">
              <w:rPr>
                <w:rFonts w:ascii="Arial CYR" w:hAnsi="Arial CYR" w:cs="Arial CYR"/>
                <w:sz w:val="20"/>
                <w:szCs w:val="20"/>
              </w:rPr>
              <w:t xml:space="preserve"> для начальной оценки соответствия и что PMCF обращается к остаточным рискам, идентифицированным для эквивалентных </w:t>
            </w:r>
            <w:r w:rsidR="00AA15C3">
              <w:rPr>
                <w:rFonts w:ascii="Arial CYR" w:hAnsi="Arial CYR" w:cs="Arial CYR"/>
                <w:sz w:val="20"/>
                <w:szCs w:val="20"/>
              </w:rPr>
              <w:t>изделий</w:t>
            </w:r>
            <w:r w:rsidRPr="00454313">
              <w:rPr>
                <w:rFonts w:ascii="Arial CYR" w:hAnsi="Arial CYR" w:cs="Arial CYR"/>
                <w:sz w:val="20"/>
                <w:szCs w:val="20"/>
              </w:rPr>
              <w:t>;</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оценить целесообразность любого обоснования, представленного производителем для того, чтобы не проводить конкретный план PMCF как часть пост-продажного наблюдения (PMS), и поиск адекватной замены, где обоснования не является допустимым;</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 xml:space="preserve">оцените уместность предложенного плана PMCF для демонстрации установленных целей производителя и адресации к остаточным рискам и проблемам долговременной клинической эффективности и безопасности, идентифицированной для конкретного </w:t>
            </w:r>
            <w:r w:rsidR="00AA15C3">
              <w:rPr>
                <w:rFonts w:ascii="Arial CYR" w:hAnsi="Arial CYR" w:cs="Arial CYR"/>
                <w:sz w:val="20"/>
                <w:szCs w:val="20"/>
              </w:rPr>
              <w:t>изделия</w:t>
            </w:r>
            <w:r w:rsidRPr="00454313">
              <w:rPr>
                <w:rFonts w:ascii="Arial CYR" w:hAnsi="Arial CYR" w:cs="Arial CYR"/>
                <w:sz w:val="20"/>
                <w:szCs w:val="20"/>
              </w:rPr>
              <w:t>;</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верифицировать, что данные, собранные производителем от PMCF, благоприятные или неблагоприятные, используются для активного обновления клинической оценки (также как система риск-менеджмента);</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 xml:space="preserve">рассмотреть, на основе оценки конкретного </w:t>
            </w:r>
            <w:r w:rsidR="00AA15C3">
              <w:rPr>
                <w:rFonts w:ascii="Arial CYR" w:hAnsi="Arial CYR" w:cs="Arial CYR"/>
                <w:sz w:val="20"/>
                <w:szCs w:val="20"/>
              </w:rPr>
              <w:t>изделия</w:t>
            </w:r>
            <w:r w:rsidRPr="00454313">
              <w:rPr>
                <w:rFonts w:ascii="Arial CYR" w:hAnsi="Arial CYR" w:cs="Arial CYR"/>
                <w:sz w:val="20"/>
                <w:szCs w:val="20"/>
              </w:rPr>
              <w:t xml:space="preserve"> должны ли данные, полученные из PMCF, быть переданы в NB между запланированными мероприятиями по оценке (например, надзорный аудит, </w:t>
            </w:r>
            <w:proofErr w:type="spellStart"/>
            <w:r w:rsidRPr="00454313">
              <w:rPr>
                <w:rFonts w:ascii="Arial CYR" w:hAnsi="Arial CYR" w:cs="Arial CYR"/>
                <w:sz w:val="20"/>
                <w:szCs w:val="20"/>
              </w:rPr>
              <w:t>ресертификационная</w:t>
            </w:r>
            <w:proofErr w:type="spellEnd"/>
            <w:r w:rsidRPr="00454313">
              <w:rPr>
                <w:rFonts w:ascii="Arial CYR" w:hAnsi="Arial CYR" w:cs="Arial CYR"/>
                <w:sz w:val="20"/>
                <w:szCs w:val="20"/>
              </w:rPr>
              <w:t xml:space="preserve"> оценка);</w:t>
            </w:r>
          </w:p>
          <w:p w:rsidR="00956687" w:rsidRPr="00454313" w:rsidRDefault="00956687" w:rsidP="00956687">
            <w:pPr>
              <w:pStyle w:val="a7"/>
              <w:widowControl w:val="0"/>
              <w:numPr>
                <w:ilvl w:val="0"/>
                <w:numId w:val="7"/>
              </w:numPr>
              <w:autoSpaceDE w:val="0"/>
              <w:autoSpaceDN w:val="0"/>
              <w:adjustRightInd w:val="0"/>
              <w:spacing w:after="0" w:line="240" w:lineRule="auto"/>
              <w:ind w:left="175" w:hanging="175"/>
              <w:rPr>
                <w:rFonts w:ascii="Arial CYR" w:hAnsi="Arial CYR" w:cs="Arial CYR"/>
                <w:sz w:val="20"/>
                <w:szCs w:val="20"/>
              </w:rPr>
            </w:pPr>
            <w:r w:rsidRPr="00454313">
              <w:rPr>
                <w:rFonts w:ascii="Arial CYR" w:hAnsi="Arial CYR" w:cs="Arial CYR"/>
                <w:sz w:val="20"/>
                <w:szCs w:val="20"/>
              </w:rPr>
              <w:t>рассмотреть соответствующий период для сертификации продукции, чтобы установить определённую точку времени, в которой данные PMCF будут оценены NB, или конкретные условия, касающиеся сертификации для последующего наблюдения. (Это решение может быть основано на остаточных рисках, характеристиках, представленных в разделе 5 и клинической оценке, представленной во время начального аудита. Условия, которые может рассмотреть NB, могут включать потребность представить производителем между сертификационными обзорами промежуточные отчёты, клинические данные сформированные из PMCF и от системы пост-продажного наблюдения (PMS)).</w:t>
            </w:r>
          </w:p>
        </w:tc>
      </w:tr>
    </w:tbl>
    <w:p w:rsidR="0011603F" w:rsidRDefault="0011603F"/>
    <w:sectPr w:rsidR="0011603F" w:rsidSect="00454313">
      <w:headerReference w:type="default" r:id="rId10"/>
      <w:pgSz w:w="15840" w:h="12240" w:orient="landscape"/>
      <w:pgMar w:top="1134"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65" w:rsidRDefault="00951A65" w:rsidP="00E502D7">
      <w:pPr>
        <w:spacing w:after="0" w:line="240" w:lineRule="auto"/>
      </w:pPr>
      <w:r>
        <w:separator/>
      </w:r>
    </w:p>
  </w:endnote>
  <w:endnote w:type="continuationSeparator" w:id="0">
    <w:p w:rsidR="00951A65" w:rsidRDefault="00951A65" w:rsidP="00E5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65" w:rsidRDefault="00951A65" w:rsidP="00E502D7">
      <w:pPr>
        <w:spacing w:after="0" w:line="240" w:lineRule="auto"/>
      </w:pPr>
      <w:r>
        <w:separator/>
      </w:r>
    </w:p>
  </w:footnote>
  <w:footnote w:type="continuationSeparator" w:id="0">
    <w:p w:rsidR="00951A65" w:rsidRDefault="00951A65" w:rsidP="00E502D7">
      <w:pPr>
        <w:spacing w:after="0" w:line="240" w:lineRule="auto"/>
      </w:pPr>
      <w:r>
        <w:continuationSeparator/>
      </w:r>
    </w:p>
  </w:footnote>
  <w:footnote w:id="1">
    <w:p w:rsidR="00A066E7" w:rsidRDefault="00A066E7" w:rsidP="005A75BD">
      <w:pPr>
        <w:pStyle w:val="a3"/>
      </w:pPr>
      <w:r>
        <w:rPr>
          <w:rStyle w:val="a5"/>
        </w:rPr>
        <w:footnoteRef/>
      </w:r>
      <w:r>
        <w:t xml:space="preserve"> </w:t>
      </w:r>
      <w:r w:rsidRPr="000235EE">
        <w:t xml:space="preserve">Катамнез (греч. запоминать) — совокупность сведений о состоянии больного и </w:t>
      </w:r>
      <w:proofErr w:type="gramStart"/>
      <w:r w:rsidRPr="000235EE">
        <w:t>дальнейшем течении болезни после установления диагноза</w:t>
      </w:r>
      <w:proofErr w:type="gramEnd"/>
      <w:r w:rsidRPr="000235EE">
        <w:t xml:space="preserve"> и </w:t>
      </w:r>
      <w:r>
        <w:t>проведении лечения</w:t>
      </w:r>
      <w:r w:rsidRPr="000235EE">
        <w:t>.</w:t>
      </w:r>
    </w:p>
  </w:footnote>
  <w:footnote w:id="2">
    <w:p w:rsidR="00A066E7" w:rsidRPr="000235EE" w:rsidRDefault="00A066E7" w:rsidP="00D6033B">
      <w:pPr>
        <w:pStyle w:val="a3"/>
        <w:ind w:left="142" w:hanging="142"/>
        <w:rPr>
          <w:sz w:val="18"/>
          <w:szCs w:val="18"/>
        </w:rPr>
      </w:pPr>
      <w:r w:rsidRPr="008C59ED">
        <w:rPr>
          <w:rStyle w:val="a5"/>
          <w:sz w:val="18"/>
          <w:szCs w:val="18"/>
        </w:rPr>
        <w:footnoteRef/>
      </w:r>
      <w:r w:rsidRPr="000235EE">
        <w:rPr>
          <w:sz w:val="18"/>
          <w:szCs w:val="18"/>
        </w:rPr>
        <w:t xml:space="preserve"> </w:t>
      </w:r>
      <w:r w:rsidRPr="008C59ED">
        <w:rPr>
          <w:sz w:val="18"/>
          <w:szCs w:val="18"/>
        </w:rPr>
        <w:t>Примеч</w:t>
      </w:r>
      <w:r w:rsidRPr="000235EE">
        <w:rPr>
          <w:sz w:val="18"/>
          <w:szCs w:val="18"/>
        </w:rPr>
        <w:t xml:space="preserve">. </w:t>
      </w:r>
      <w:r w:rsidRPr="008C59ED">
        <w:rPr>
          <w:sz w:val="18"/>
          <w:szCs w:val="18"/>
        </w:rPr>
        <w:t>Переводчика</w:t>
      </w:r>
      <w:r>
        <w:rPr>
          <w:sz w:val="18"/>
          <w:szCs w:val="18"/>
        </w:rPr>
        <w:t xml:space="preserve"> (здесь и далее)</w:t>
      </w:r>
      <w:r w:rsidRPr="000235EE">
        <w:rPr>
          <w:sz w:val="18"/>
          <w:szCs w:val="18"/>
        </w:rPr>
        <w:t>.</w:t>
      </w:r>
    </w:p>
  </w:footnote>
  <w:footnote w:id="3">
    <w:p w:rsidR="00A066E7" w:rsidRPr="008C59ED" w:rsidRDefault="00A066E7" w:rsidP="00D6033B">
      <w:pPr>
        <w:pStyle w:val="a3"/>
        <w:ind w:left="142" w:hanging="142"/>
        <w:rPr>
          <w:sz w:val="18"/>
          <w:szCs w:val="18"/>
          <w:lang w:val="en-US"/>
        </w:rPr>
      </w:pPr>
      <w:r w:rsidRPr="008C59ED">
        <w:rPr>
          <w:rStyle w:val="a5"/>
          <w:sz w:val="18"/>
          <w:szCs w:val="18"/>
        </w:rPr>
        <w:footnoteRef/>
      </w:r>
      <w:r w:rsidRPr="008C59ED">
        <w:rPr>
          <w:sz w:val="18"/>
          <w:szCs w:val="18"/>
          <w:lang w:val="en-US"/>
        </w:rPr>
        <w:t xml:space="preserve"> Council Directives 90/385/EEC and 93/42/EEC.</w:t>
      </w:r>
    </w:p>
  </w:footnote>
  <w:footnote w:id="4">
    <w:p w:rsidR="00A066E7" w:rsidRPr="008C59ED" w:rsidRDefault="00A066E7" w:rsidP="00D6033B">
      <w:pPr>
        <w:pStyle w:val="a3"/>
        <w:ind w:left="142" w:hanging="142"/>
        <w:rPr>
          <w:sz w:val="18"/>
          <w:szCs w:val="18"/>
          <w:lang w:val="en-US"/>
        </w:rPr>
      </w:pPr>
      <w:r w:rsidRPr="008C59ED">
        <w:rPr>
          <w:rStyle w:val="a5"/>
          <w:sz w:val="18"/>
          <w:szCs w:val="18"/>
        </w:rPr>
        <w:footnoteRef/>
      </w:r>
      <w:r w:rsidRPr="008C59ED">
        <w:rPr>
          <w:sz w:val="18"/>
          <w:szCs w:val="18"/>
          <w:lang w:val="en-US"/>
        </w:rPr>
        <w:t xml:space="preserve"> GHTF document SG5/N1R8: 2007: Clinical Evidence - Key Definitions and Concepts.</w:t>
      </w:r>
    </w:p>
  </w:footnote>
  <w:footnote w:id="5">
    <w:p w:rsidR="00A066E7" w:rsidRPr="00D6033B" w:rsidRDefault="00A066E7" w:rsidP="00D6033B">
      <w:pPr>
        <w:pStyle w:val="a3"/>
        <w:ind w:left="142" w:hanging="142"/>
        <w:rPr>
          <w:lang w:val="en-US"/>
        </w:rPr>
      </w:pPr>
      <w:r w:rsidRPr="008C59ED">
        <w:rPr>
          <w:rStyle w:val="a5"/>
          <w:sz w:val="18"/>
          <w:szCs w:val="18"/>
        </w:rPr>
        <w:footnoteRef/>
      </w:r>
      <w:r w:rsidRPr="008C59ED">
        <w:rPr>
          <w:sz w:val="18"/>
          <w:szCs w:val="18"/>
          <w:lang w:val="en-US"/>
        </w:rPr>
        <w:t xml:space="preserve"> GHTF document SG5/N4:2010: Post Market Clinical Follow-Up Studies, based on the definition in Agency for Healthcare Research and Quality, “Registries for Evaluating Patient Outcomes: A User’s Guide”, as modified.</w:t>
      </w:r>
    </w:p>
  </w:footnote>
  <w:footnote w:id="6">
    <w:p w:rsidR="0020748A" w:rsidRPr="00E26E29" w:rsidRDefault="0020748A">
      <w:pPr>
        <w:pStyle w:val="a3"/>
      </w:pPr>
      <w:r>
        <w:rPr>
          <w:rStyle w:val="a5"/>
        </w:rPr>
        <w:footnoteRef/>
      </w:r>
      <w:r>
        <w:t xml:space="preserve"> </w:t>
      </w:r>
      <w:proofErr w:type="spellStart"/>
      <w:r>
        <w:t>Прим.переводчика</w:t>
      </w:r>
      <w:proofErr w:type="spellEnd"/>
      <w:r>
        <w:t xml:space="preserve">: Вся работа по </w:t>
      </w:r>
      <w:r>
        <w:rPr>
          <w:lang w:val="en-US"/>
        </w:rPr>
        <w:t>PMCF</w:t>
      </w:r>
      <w:r w:rsidRPr="00E26E29">
        <w:t xml:space="preserve"> </w:t>
      </w:r>
      <w:r>
        <w:t>строится</w:t>
      </w:r>
      <w:r w:rsidRPr="00E26E29">
        <w:t xml:space="preserve"> </w:t>
      </w:r>
      <w:r>
        <w:t xml:space="preserve">на процессной основе – цикл </w:t>
      </w:r>
      <w:r>
        <w:rPr>
          <w:lang w:val="en-US"/>
        </w:rPr>
        <w:t>PDCA</w:t>
      </w:r>
      <w:r w:rsidRPr="00E26E29">
        <w:t xml:space="preserve"> </w:t>
      </w:r>
      <w:r>
        <w:t>начинается как раз с этого Плана.</w:t>
      </w:r>
    </w:p>
  </w:footnote>
  <w:footnote w:id="7">
    <w:p w:rsidR="00956687" w:rsidRPr="00E26E29" w:rsidRDefault="00956687">
      <w:pPr>
        <w:pStyle w:val="a3"/>
      </w:pPr>
      <w:r>
        <w:rPr>
          <w:rStyle w:val="a5"/>
        </w:rPr>
        <w:footnoteRef/>
      </w:r>
      <w:r>
        <w:t xml:space="preserve"> Примеч.</w:t>
      </w:r>
      <w:r w:rsidRPr="00E26E29">
        <w:t xml:space="preserve"> </w:t>
      </w:r>
      <w:r>
        <w:t xml:space="preserve">переводчика: Цикл </w:t>
      </w:r>
      <w:r>
        <w:rPr>
          <w:lang w:val="en-US"/>
        </w:rPr>
        <w:t>PDCA</w:t>
      </w:r>
      <w:r w:rsidRPr="00E26E29">
        <w:t xml:space="preserve"> </w:t>
      </w:r>
      <w:r>
        <w:t xml:space="preserve">замыкается. Использование данных </w:t>
      </w:r>
      <w:r>
        <w:rPr>
          <w:lang w:val="en-US"/>
        </w:rPr>
        <w:t>PMCF</w:t>
      </w:r>
      <w:r w:rsidRPr="00E26E29">
        <w:t xml:space="preserve"> </w:t>
      </w:r>
      <w:r>
        <w:t xml:space="preserve">на регулярной основе может быть выполнено в рамках выполнения требований п. 8.4 стандарта </w:t>
      </w:r>
      <w:r>
        <w:rPr>
          <w:lang w:val="en-US"/>
        </w:rPr>
        <w:t>ISO</w:t>
      </w:r>
      <w:r w:rsidRPr="00E26E29">
        <w:t xml:space="preserve"> </w:t>
      </w:r>
      <w:r>
        <w:t xml:space="preserve">13485, а стратегически оценка данных </w:t>
      </w:r>
      <w:r>
        <w:rPr>
          <w:lang w:val="en-US"/>
        </w:rPr>
        <w:t>PMCF</w:t>
      </w:r>
      <w:r>
        <w:t xml:space="preserve"> может быть элементом анализа со стороны руководства (п. 5.6 </w:t>
      </w:r>
      <w:r>
        <w:rPr>
          <w:lang w:val="en-US"/>
        </w:rPr>
        <w:t>ISO</w:t>
      </w:r>
      <w:r w:rsidRPr="00E26E29">
        <w:t xml:space="preserve"> 13485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E7" w:rsidRDefault="00A066E7" w:rsidP="008763B7">
    <w:pPr>
      <w:pStyle w:val="a8"/>
      <w:tabs>
        <w:tab w:val="clear" w:pos="4677"/>
        <w:tab w:val="clear" w:pos="9355"/>
        <w:tab w:val="right" w:pos="14742"/>
      </w:tabs>
    </w:pPr>
    <w:r>
      <w:t>Стр.</w:t>
    </w:r>
    <w:sdt>
      <w:sdtPr>
        <w:id w:val="1291700178"/>
        <w:docPartObj>
          <w:docPartGallery w:val="Page Numbers (Top of Page)"/>
          <w:docPartUnique/>
        </w:docPartObj>
      </w:sdtPr>
      <w:sdtEndPr/>
      <w:sdtContent>
        <w:r>
          <w:fldChar w:fldCharType="begin"/>
        </w:r>
        <w:r>
          <w:instrText>PAGE   \* MERGEFORMAT</w:instrText>
        </w:r>
        <w:r>
          <w:fldChar w:fldCharType="separate"/>
        </w:r>
        <w:r w:rsidR="007C7006">
          <w:rPr>
            <w:noProof/>
          </w:rPr>
          <w:t>9</w:t>
        </w:r>
        <w:r>
          <w:fldChar w:fldCharType="end"/>
        </w:r>
        <w:r>
          <w:tab/>
        </w:r>
        <w:r w:rsidRPr="008763B7">
          <w:t>info@getCEmark.ru</w:t>
        </w:r>
      </w:sdtContent>
    </w:sdt>
  </w:p>
  <w:p w:rsidR="00A066E7" w:rsidRDefault="00A066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4CD5"/>
    <w:multiLevelType w:val="hybridMultilevel"/>
    <w:tmpl w:val="916C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50441"/>
    <w:multiLevelType w:val="hybridMultilevel"/>
    <w:tmpl w:val="A88A2D42"/>
    <w:lvl w:ilvl="0" w:tplc="8E329EA2">
      <w:numFmt w:val="bullet"/>
      <w:lvlText w:val=""/>
      <w:lvlJc w:val="left"/>
      <w:pPr>
        <w:ind w:left="109" w:hanging="360"/>
      </w:pPr>
      <w:rPr>
        <w:rFonts w:ascii="Symbol" w:eastAsiaTheme="minorEastAsia" w:hAnsi="Symbol" w:cs="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10733F6E"/>
    <w:multiLevelType w:val="hybridMultilevel"/>
    <w:tmpl w:val="5F084350"/>
    <w:lvl w:ilvl="0" w:tplc="8E329EA2">
      <w:numFmt w:val="bullet"/>
      <w:lvlText w:val=""/>
      <w:lvlJc w:val="left"/>
      <w:pPr>
        <w:ind w:left="76" w:hanging="360"/>
      </w:pPr>
      <w:rPr>
        <w:rFonts w:ascii="Symbol" w:eastAsiaTheme="minorEastAsia" w:hAnsi="Symbol" w:cs="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23F10DB6"/>
    <w:multiLevelType w:val="hybridMultilevel"/>
    <w:tmpl w:val="C89EED4E"/>
    <w:lvl w:ilvl="0" w:tplc="0FD60C4A">
      <w:numFmt w:val="bullet"/>
      <w:lvlText w:val=""/>
      <w:lvlJc w:val="left"/>
      <w:pPr>
        <w:ind w:left="720" w:hanging="360"/>
      </w:pPr>
      <w:rPr>
        <w:rFonts w:ascii="Symbol" w:eastAsiaTheme="minorEastAsia"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73211A"/>
    <w:multiLevelType w:val="hybridMultilevel"/>
    <w:tmpl w:val="3A461B82"/>
    <w:lvl w:ilvl="0" w:tplc="8E329EA2">
      <w:numFmt w:val="bullet"/>
      <w:lvlText w:val=""/>
      <w:lvlJc w:val="left"/>
      <w:pPr>
        <w:ind w:left="109" w:hanging="360"/>
      </w:pPr>
      <w:rPr>
        <w:rFonts w:ascii="Symbol" w:eastAsiaTheme="minorEastAsia" w:hAnsi="Symbol" w:cs="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15:restartNumberingAfterBreak="0">
    <w:nsid w:val="34C0688F"/>
    <w:multiLevelType w:val="hybridMultilevel"/>
    <w:tmpl w:val="1944860E"/>
    <w:lvl w:ilvl="0" w:tplc="6464D488">
      <w:numFmt w:val="bullet"/>
      <w:lvlText w:val=""/>
      <w:lvlJc w:val="left"/>
      <w:pPr>
        <w:ind w:left="720" w:hanging="360"/>
      </w:pPr>
      <w:rPr>
        <w:rFonts w:ascii="Symbol" w:eastAsiaTheme="minorEastAsia"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40108E"/>
    <w:multiLevelType w:val="hybridMultilevel"/>
    <w:tmpl w:val="889E8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2C7994"/>
    <w:multiLevelType w:val="hybridMultilevel"/>
    <w:tmpl w:val="F8A6B32A"/>
    <w:lvl w:ilvl="0" w:tplc="C1DCBCA6">
      <w:start w:val="1"/>
      <w:numFmt w:val="bullet"/>
      <w:lvlText w:val="•"/>
      <w:lvlJc w:val="left"/>
      <w:pPr>
        <w:tabs>
          <w:tab w:val="num" w:pos="720"/>
        </w:tabs>
        <w:ind w:left="720" w:hanging="360"/>
      </w:pPr>
      <w:rPr>
        <w:rFonts w:ascii="Arial" w:hAnsi="Arial" w:hint="default"/>
      </w:rPr>
    </w:lvl>
    <w:lvl w:ilvl="1" w:tplc="C0DA2694" w:tentative="1">
      <w:start w:val="1"/>
      <w:numFmt w:val="bullet"/>
      <w:lvlText w:val="•"/>
      <w:lvlJc w:val="left"/>
      <w:pPr>
        <w:tabs>
          <w:tab w:val="num" w:pos="1440"/>
        </w:tabs>
        <w:ind w:left="1440" w:hanging="360"/>
      </w:pPr>
      <w:rPr>
        <w:rFonts w:ascii="Arial" w:hAnsi="Arial" w:hint="default"/>
      </w:rPr>
    </w:lvl>
    <w:lvl w:ilvl="2" w:tplc="4970A86A" w:tentative="1">
      <w:start w:val="1"/>
      <w:numFmt w:val="bullet"/>
      <w:lvlText w:val="•"/>
      <w:lvlJc w:val="left"/>
      <w:pPr>
        <w:tabs>
          <w:tab w:val="num" w:pos="2160"/>
        </w:tabs>
        <w:ind w:left="2160" w:hanging="360"/>
      </w:pPr>
      <w:rPr>
        <w:rFonts w:ascii="Arial" w:hAnsi="Arial" w:hint="default"/>
      </w:rPr>
    </w:lvl>
    <w:lvl w:ilvl="3" w:tplc="90B045F8" w:tentative="1">
      <w:start w:val="1"/>
      <w:numFmt w:val="bullet"/>
      <w:lvlText w:val="•"/>
      <w:lvlJc w:val="left"/>
      <w:pPr>
        <w:tabs>
          <w:tab w:val="num" w:pos="2880"/>
        </w:tabs>
        <w:ind w:left="2880" w:hanging="360"/>
      </w:pPr>
      <w:rPr>
        <w:rFonts w:ascii="Arial" w:hAnsi="Arial" w:hint="default"/>
      </w:rPr>
    </w:lvl>
    <w:lvl w:ilvl="4" w:tplc="C3BCB6CA" w:tentative="1">
      <w:start w:val="1"/>
      <w:numFmt w:val="bullet"/>
      <w:lvlText w:val="•"/>
      <w:lvlJc w:val="left"/>
      <w:pPr>
        <w:tabs>
          <w:tab w:val="num" w:pos="3600"/>
        </w:tabs>
        <w:ind w:left="3600" w:hanging="360"/>
      </w:pPr>
      <w:rPr>
        <w:rFonts w:ascii="Arial" w:hAnsi="Arial" w:hint="default"/>
      </w:rPr>
    </w:lvl>
    <w:lvl w:ilvl="5" w:tplc="F1D2B070" w:tentative="1">
      <w:start w:val="1"/>
      <w:numFmt w:val="bullet"/>
      <w:lvlText w:val="•"/>
      <w:lvlJc w:val="left"/>
      <w:pPr>
        <w:tabs>
          <w:tab w:val="num" w:pos="4320"/>
        </w:tabs>
        <w:ind w:left="4320" w:hanging="360"/>
      </w:pPr>
      <w:rPr>
        <w:rFonts w:ascii="Arial" w:hAnsi="Arial" w:hint="default"/>
      </w:rPr>
    </w:lvl>
    <w:lvl w:ilvl="6" w:tplc="5A3E8F5A" w:tentative="1">
      <w:start w:val="1"/>
      <w:numFmt w:val="bullet"/>
      <w:lvlText w:val="•"/>
      <w:lvlJc w:val="left"/>
      <w:pPr>
        <w:tabs>
          <w:tab w:val="num" w:pos="5040"/>
        </w:tabs>
        <w:ind w:left="5040" w:hanging="360"/>
      </w:pPr>
      <w:rPr>
        <w:rFonts w:ascii="Arial" w:hAnsi="Arial" w:hint="default"/>
      </w:rPr>
    </w:lvl>
    <w:lvl w:ilvl="7" w:tplc="00E22F16" w:tentative="1">
      <w:start w:val="1"/>
      <w:numFmt w:val="bullet"/>
      <w:lvlText w:val="•"/>
      <w:lvlJc w:val="left"/>
      <w:pPr>
        <w:tabs>
          <w:tab w:val="num" w:pos="5760"/>
        </w:tabs>
        <w:ind w:left="5760" w:hanging="360"/>
      </w:pPr>
      <w:rPr>
        <w:rFonts w:ascii="Arial" w:hAnsi="Arial" w:hint="default"/>
      </w:rPr>
    </w:lvl>
    <w:lvl w:ilvl="8" w:tplc="B224A0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758C6"/>
    <w:multiLevelType w:val="hybridMultilevel"/>
    <w:tmpl w:val="E1A88D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52235D8B"/>
    <w:multiLevelType w:val="hybridMultilevel"/>
    <w:tmpl w:val="D042EF24"/>
    <w:lvl w:ilvl="0" w:tplc="DE32DA54">
      <w:start w:val="1"/>
      <w:numFmt w:val="bullet"/>
      <w:lvlText w:val="•"/>
      <w:lvlJc w:val="left"/>
      <w:pPr>
        <w:tabs>
          <w:tab w:val="num" w:pos="720"/>
        </w:tabs>
        <w:ind w:left="720" w:hanging="360"/>
      </w:pPr>
      <w:rPr>
        <w:rFonts w:ascii="Arial" w:hAnsi="Arial" w:hint="default"/>
      </w:rPr>
    </w:lvl>
    <w:lvl w:ilvl="1" w:tplc="448AC080" w:tentative="1">
      <w:start w:val="1"/>
      <w:numFmt w:val="bullet"/>
      <w:lvlText w:val="•"/>
      <w:lvlJc w:val="left"/>
      <w:pPr>
        <w:tabs>
          <w:tab w:val="num" w:pos="1440"/>
        </w:tabs>
        <w:ind w:left="1440" w:hanging="360"/>
      </w:pPr>
      <w:rPr>
        <w:rFonts w:ascii="Arial" w:hAnsi="Arial" w:hint="default"/>
      </w:rPr>
    </w:lvl>
    <w:lvl w:ilvl="2" w:tplc="9B72F376" w:tentative="1">
      <w:start w:val="1"/>
      <w:numFmt w:val="bullet"/>
      <w:lvlText w:val="•"/>
      <w:lvlJc w:val="left"/>
      <w:pPr>
        <w:tabs>
          <w:tab w:val="num" w:pos="2160"/>
        </w:tabs>
        <w:ind w:left="2160" w:hanging="360"/>
      </w:pPr>
      <w:rPr>
        <w:rFonts w:ascii="Arial" w:hAnsi="Arial" w:hint="default"/>
      </w:rPr>
    </w:lvl>
    <w:lvl w:ilvl="3" w:tplc="97123678" w:tentative="1">
      <w:start w:val="1"/>
      <w:numFmt w:val="bullet"/>
      <w:lvlText w:val="•"/>
      <w:lvlJc w:val="left"/>
      <w:pPr>
        <w:tabs>
          <w:tab w:val="num" w:pos="2880"/>
        </w:tabs>
        <w:ind w:left="2880" w:hanging="360"/>
      </w:pPr>
      <w:rPr>
        <w:rFonts w:ascii="Arial" w:hAnsi="Arial" w:hint="default"/>
      </w:rPr>
    </w:lvl>
    <w:lvl w:ilvl="4" w:tplc="08142A0C" w:tentative="1">
      <w:start w:val="1"/>
      <w:numFmt w:val="bullet"/>
      <w:lvlText w:val="•"/>
      <w:lvlJc w:val="left"/>
      <w:pPr>
        <w:tabs>
          <w:tab w:val="num" w:pos="3600"/>
        </w:tabs>
        <w:ind w:left="3600" w:hanging="360"/>
      </w:pPr>
      <w:rPr>
        <w:rFonts w:ascii="Arial" w:hAnsi="Arial" w:hint="default"/>
      </w:rPr>
    </w:lvl>
    <w:lvl w:ilvl="5" w:tplc="8CE81EB4" w:tentative="1">
      <w:start w:val="1"/>
      <w:numFmt w:val="bullet"/>
      <w:lvlText w:val="•"/>
      <w:lvlJc w:val="left"/>
      <w:pPr>
        <w:tabs>
          <w:tab w:val="num" w:pos="4320"/>
        </w:tabs>
        <w:ind w:left="4320" w:hanging="360"/>
      </w:pPr>
      <w:rPr>
        <w:rFonts w:ascii="Arial" w:hAnsi="Arial" w:hint="default"/>
      </w:rPr>
    </w:lvl>
    <w:lvl w:ilvl="6" w:tplc="4BAEC9EA" w:tentative="1">
      <w:start w:val="1"/>
      <w:numFmt w:val="bullet"/>
      <w:lvlText w:val="•"/>
      <w:lvlJc w:val="left"/>
      <w:pPr>
        <w:tabs>
          <w:tab w:val="num" w:pos="5040"/>
        </w:tabs>
        <w:ind w:left="5040" w:hanging="360"/>
      </w:pPr>
      <w:rPr>
        <w:rFonts w:ascii="Arial" w:hAnsi="Arial" w:hint="default"/>
      </w:rPr>
    </w:lvl>
    <w:lvl w:ilvl="7" w:tplc="ACA82C7C" w:tentative="1">
      <w:start w:val="1"/>
      <w:numFmt w:val="bullet"/>
      <w:lvlText w:val="•"/>
      <w:lvlJc w:val="left"/>
      <w:pPr>
        <w:tabs>
          <w:tab w:val="num" w:pos="5760"/>
        </w:tabs>
        <w:ind w:left="5760" w:hanging="360"/>
      </w:pPr>
      <w:rPr>
        <w:rFonts w:ascii="Arial" w:hAnsi="Arial" w:hint="default"/>
      </w:rPr>
    </w:lvl>
    <w:lvl w:ilvl="8" w:tplc="E5A6AE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D91EED"/>
    <w:multiLevelType w:val="hybridMultilevel"/>
    <w:tmpl w:val="812E3DEA"/>
    <w:lvl w:ilvl="0" w:tplc="8A9635FC">
      <w:numFmt w:val="bullet"/>
      <w:lvlText w:val=""/>
      <w:lvlJc w:val="left"/>
      <w:pPr>
        <w:ind w:left="720" w:hanging="360"/>
      </w:pPr>
      <w:rPr>
        <w:rFonts w:ascii="Symbol" w:eastAsiaTheme="minorEastAsia"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680BDC"/>
    <w:multiLevelType w:val="hybridMultilevel"/>
    <w:tmpl w:val="4C5E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C86DDA"/>
    <w:multiLevelType w:val="hybridMultilevel"/>
    <w:tmpl w:val="0B647518"/>
    <w:lvl w:ilvl="0" w:tplc="8E329EA2">
      <w:numFmt w:val="bullet"/>
      <w:lvlText w:val=""/>
      <w:lvlJc w:val="left"/>
      <w:pPr>
        <w:ind w:left="360" w:hanging="360"/>
      </w:pPr>
      <w:rPr>
        <w:rFonts w:ascii="Symbol" w:eastAsiaTheme="minorEastAsia"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10"/>
  </w:num>
  <w:num w:numId="3">
    <w:abstractNumId w:val="6"/>
  </w:num>
  <w:num w:numId="4">
    <w:abstractNumId w:val="3"/>
  </w:num>
  <w:num w:numId="5">
    <w:abstractNumId w:val="5"/>
  </w:num>
  <w:num w:numId="6">
    <w:abstractNumId w:val="8"/>
  </w:num>
  <w:num w:numId="7">
    <w:abstractNumId w:val="2"/>
  </w:num>
  <w:num w:numId="8">
    <w:abstractNumId w:val="0"/>
  </w:num>
  <w:num w:numId="9">
    <w:abstractNumId w:val="1"/>
  </w:num>
  <w:num w:numId="10">
    <w:abstractNumId w:val="4"/>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mirrorMargin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3F"/>
    <w:rsid w:val="000235EE"/>
    <w:rsid w:val="00043680"/>
    <w:rsid w:val="000E6269"/>
    <w:rsid w:val="000E7F2D"/>
    <w:rsid w:val="0010091D"/>
    <w:rsid w:val="00101856"/>
    <w:rsid w:val="0011603F"/>
    <w:rsid w:val="00126731"/>
    <w:rsid w:val="0013609F"/>
    <w:rsid w:val="001C7C48"/>
    <w:rsid w:val="001D5069"/>
    <w:rsid w:val="001D796D"/>
    <w:rsid w:val="00202823"/>
    <w:rsid w:val="00204DCB"/>
    <w:rsid w:val="0020748A"/>
    <w:rsid w:val="00215638"/>
    <w:rsid w:val="00215A09"/>
    <w:rsid w:val="002203DF"/>
    <w:rsid w:val="002352BC"/>
    <w:rsid w:val="00247F8A"/>
    <w:rsid w:val="0027163C"/>
    <w:rsid w:val="002D1BF6"/>
    <w:rsid w:val="002E0481"/>
    <w:rsid w:val="002E23C0"/>
    <w:rsid w:val="003203D6"/>
    <w:rsid w:val="00364A20"/>
    <w:rsid w:val="0037442C"/>
    <w:rsid w:val="003B2BA2"/>
    <w:rsid w:val="003B673E"/>
    <w:rsid w:val="003E360D"/>
    <w:rsid w:val="003F6742"/>
    <w:rsid w:val="003F6E5B"/>
    <w:rsid w:val="00435FB6"/>
    <w:rsid w:val="004509D1"/>
    <w:rsid w:val="00454313"/>
    <w:rsid w:val="004A3E09"/>
    <w:rsid w:val="0053795A"/>
    <w:rsid w:val="00547939"/>
    <w:rsid w:val="0059552F"/>
    <w:rsid w:val="005A5782"/>
    <w:rsid w:val="005A75BD"/>
    <w:rsid w:val="005B00C6"/>
    <w:rsid w:val="005B046D"/>
    <w:rsid w:val="005B5E92"/>
    <w:rsid w:val="00626CAF"/>
    <w:rsid w:val="006B0890"/>
    <w:rsid w:val="00717535"/>
    <w:rsid w:val="00740F5D"/>
    <w:rsid w:val="00743727"/>
    <w:rsid w:val="00744605"/>
    <w:rsid w:val="00783AE9"/>
    <w:rsid w:val="007B1FF4"/>
    <w:rsid w:val="007C7006"/>
    <w:rsid w:val="00824CCA"/>
    <w:rsid w:val="00844C2A"/>
    <w:rsid w:val="00864F5D"/>
    <w:rsid w:val="00865767"/>
    <w:rsid w:val="00874F99"/>
    <w:rsid w:val="008763B7"/>
    <w:rsid w:val="008931EE"/>
    <w:rsid w:val="008C395A"/>
    <w:rsid w:val="008C59ED"/>
    <w:rsid w:val="008E2295"/>
    <w:rsid w:val="0093218D"/>
    <w:rsid w:val="009456F6"/>
    <w:rsid w:val="00951A65"/>
    <w:rsid w:val="00956687"/>
    <w:rsid w:val="00962374"/>
    <w:rsid w:val="00983AAC"/>
    <w:rsid w:val="009D65DB"/>
    <w:rsid w:val="009E0AB9"/>
    <w:rsid w:val="009F35E6"/>
    <w:rsid w:val="00A066E7"/>
    <w:rsid w:val="00A1530D"/>
    <w:rsid w:val="00A215E2"/>
    <w:rsid w:val="00A3644E"/>
    <w:rsid w:val="00A37818"/>
    <w:rsid w:val="00A43461"/>
    <w:rsid w:val="00A43D26"/>
    <w:rsid w:val="00A70276"/>
    <w:rsid w:val="00AA15C3"/>
    <w:rsid w:val="00AC7E9F"/>
    <w:rsid w:val="00AE2C6F"/>
    <w:rsid w:val="00B4310F"/>
    <w:rsid w:val="00B6248D"/>
    <w:rsid w:val="00B65C7A"/>
    <w:rsid w:val="00B85AB3"/>
    <w:rsid w:val="00BA2A56"/>
    <w:rsid w:val="00BA4E20"/>
    <w:rsid w:val="00BF1442"/>
    <w:rsid w:val="00C36B11"/>
    <w:rsid w:val="00C45BB7"/>
    <w:rsid w:val="00C53DBF"/>
    <w:rsid w:val="00C57803"/>
    <w:rsid w:val="00C61251"/>
    <w:rsid w:val="00C65B38"/>
    <w:rsid w:val="00C76919"/>
    <w:rsid w:val="00CD09A0"/>
    <w:rsid w:val="00CD7157"/>
    <w:rsid w:val="00CE19EE"/>
    <w:rsid w:val="00D2447E"/>
    <w:rsid w:val="00D4583A"/>
    <w:rsid w:val="00D559E0"/>
    <w:rsid w:val="00D6033B"/>
    <w:rsid w:val="00D62DDA"/>
    <w:rsid w:val="00D75721"/>
    <w:rsid w:val="00D771C0"/>
    <w:rsid w:val="00DC39F0"/>
    <w:rsid w:val="00E26E29"/>
    <w:rsid w:val="00E502D7"/>
    <w:rsid w:val="00E70BE1"/>
    <w:rsid w:val="00E82D65"/>
    <w:rsid w:val="00EB10EA"/>
    <w:rsid w:val="00EB4BD2"/>
    <w:rsid w:val="00EB57F5"/>
    <w:rsid w:val="00ED3DC5"/>
    <w:rsid w:val="00F756B9"/>
    <w:rsid w:val="00F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0F5B6"/>
  <w14:defaultImageDpi w14:val="96"/>
  <w15:docId w15:val="{ABA40FA3-74C5-4941-BD87-BF60D865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763B7"/>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semiHidden/>
    <w:unhideWhenUsed/>
    <w:qFormat/>
    <w:rsid w:val="008763B7"/>
    <w:pPr>
      <w:keepNext/>
      <w:keepLines/>
      <w:spacing w:before="200" w:after="6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rsid w:val="00E502D7"/>
    <w:pPr>
      <w:spacing w:after="0" w:line="240" w:lineRule="auto"/>
    </w:pPr>
    <w:rPr>
      <w:sz w:val="20"/>
      <w:szCs w:val="20"/>
    </w:rPr>
  </w:style>
  <w:style w:type="character" w:customStyle="1" w:styleId="a4">
    <w:name w:val="Текст сноски Знак"/>
    <w:basedOn w:val="a0"/>
    <w:link w:val="a3"/>
    <w:uiPriority w:val="99"/>
    <w:rsid w:val="00E502D7"/>
    <w:rPr>
      <w:sz w:val="20"/>
      <w:szCs w:val="20"/>
    </w:rPr>
  </w:style>
  <w:style w:type="character" w:styleId="a5">
    <w:name w:val="footnote reference"/>
    <w:basedOn w:val="a0"/>
    <w:uiPriority w:val="99"/>
    <w:semiHidden/>
    <w:unhideWhenUsed/>
    <w:rsid w:val="00E502D7"/>
    <w:rPr>
      <w:vertAlign w:val="superscript"/>
    </w:rPr>
  </w:style>
  <w:style w:type="character" w:styleId="a6">
    <w:name w:val="Hyperlink"/>
    <w:basedOn w:val="a0"/>
    <w:uiPriority w:val="99"/>
    <w:unhideWhenUsed/>
    <w:rsid w:val="000E6269"/>
    <w:rPr>
      <w:color w:val="0000FF" w:themeColor="hyperlink"/>
      <w:u w:val="single"/>
    </w:rPr>
  </w:style>
  <w:style w:type="paragraph" w:styleId="a7">
    <w:name w:val="List Paragraph"/>
    <w:basedOn w:val="a"/>
    <w:uiPriority w:val="34"/>
    <w:qFormat/>
    <w:rsid w:val="00C45BB7"/>
    <w:pPr>
      <w:ind w:left="720"/>
      <w:contextualSpacing/>
    </w:pPr>
  </w:style>
  <w:style w:type="paragraph" w:styleId="a8">
    <w:name w:val="header"/>
    <w:basedOn w:val="a"/>
    <w:link w:val="a9"/>
    <w:uiPriority w:val="99"/>
    <w:unhideWhenUsed/>
    <w:rsid w:val="008763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3B7"/>
  </w:style>
  <w:style w:type="paragraph" w:styleId="aa">
    <w:name w:val="footer"/>
    <w:basedOn w:val="a"/>
    <w:link w:val="ab"/>
    <w:uiPriority w:val="99"/>
    <w:unhideWhenUsed/>
    <w:rsid w:val="008763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63B7"/>
  </w:style>
  <w:style w:type="character" w:customStyle="1" w:styleId="10">
    <w:name w:val="Заголовок 1 Знак"/>
    <w:basedOn w:val="a0"/>
    <w:link w:val="1"/>
    <w:uiPriority w:val="9"/>
    <w:rsid w:val="008763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3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48200">
      <w:bodyDiv w:val="1"/>
      <w:marLeft w:val="0"/>
      <w:marRight w:val="0"/>
      <w:marTop w:val="0"/>
      <w:marBottom w:val="0"/>
      <w:divBdr>
        <w:top w:val="none" w:sz="0" w:space="0" w:color="auto"/>
        <w:left w:val="none" w:sz="0" w:space="0" w:color="auto"/>
        <w:bottom w:val="none" w:sz="0" w:space="0" w:color="auto"/>
        <w:right w:val="none" w:sz="0" w:space="0" w:color="auto"/>
      </w:divBdr>
    </w:div>
    <w:div w:id="357313222">
      <w:bodyDiv w:val="1"/>
      <w:marLeft w:val="0"/>
      <w:marRight w:val="0"/>
      <w:marTop w:val="0"/>
      <w:marBottom w:val="0"/>
      <w:divBdr>
        <w:top w:val="none" w:sz="0" w:space="0" w:color="auto"/>
        <w:left w:val="none" w:sz="0" w:space="0" w:color="auto"/>
        <w:bottom w:val="none" w:sz="0" w:space="0" w:color="auto"/>
        <w:right w:val="none" w:sz="0" w:space="0" w:color="auto"/>
      </w:divBdr>
      <w:divsChild>
        <w:div w:id="535242144">
          <w:marLeft w:val="576"/>
          <w:marRight w:val="0"/>
          <w:marTop w:val="0"/>
          <w:marBottom w:val="120"/>
          <w:divBdr>
            <w:top w:val="none" w:sz="0" w:space="0" w:color="auto"/>
            <w:left w:val="none" w:sz="0" w:space="0" w:color="auto"/>
            <w:bottom w:val="none" w:sz="0" w:space="0" w:color="auto"/>
            <w:right w:val="none" w:sz="0" w:space="0" w:color="auto"/>
          </w:divBdr>
        </w:div>
        <w:div w:id="1382442376">
          <w:marLeft w:val="576"/>
          <w:marRight w:val="0"/>
          <w:marTop w:val="0"/>
          <w:marBottom w:val="120"/>
          <w:divBdr>
            <w:top w:val="none" w:sz="0" w:space="0" w:color="auto"/>
            <w:left w:val="none" w:sz="0" w:space="0" w:color="auto"/>
            <w:bottom w:val="none" w:sz="0" w:space="0" w:color="auto"/>
            <w:right w:val="none" w:sz="0" w:space="0" w:color="auto"/>
          </w:divBdr>
        </w:div>
        <w:div w:id="1556424974">
          <w:marLeft w:val="562"/>
          <w:marRight w:val="0"/>
          <w:marTop w:val="0"/>
          <w:marBottom w:val="120"/>
          <w:divBdr>
            <w:top w:val="none" w:sz="0" w:space="0" w:color="auto"/>
            <w:left w:val="none" w:sz="0" w:space="0" w:color="auto"/>
            <w:bottom w:val="none" w:sz="0" w:space="0" w:color="auto"/>
            <w:right w:val="none" w:sz="0" w:space="0" w:color="auto"/>
          </w:divBdr>
        </w:div>
      </w:divsChild>
    </w:div>
    <w:div w:id="397284062">
      <w:bodyDiv w:val="1"/>
      <w:marLeft w:val="0"/>
      <w:marRight w:val="0"/>
      <w:marTop w:val="0"/>
      <w:marBottom w:val="0"/>
      <w:divBdr>
        <w:top w:val="none" w:sz="0" w:space="0" w:color="auto"/>
        <w:left w:val="none" w:sz="0" w:space="0" w:color="auto"/>
        <w:bottom w:val="none" w:sz="0" w:space="0" w:color="auto"/>
        <w:right w:val="none" w:sz="0" w:space="0" w:color="auto"/>
      </w:divBdr>
    </w:div>
    <w:div w:id="590118737">
      <w:bodyDiv w:val="1"/>
      <w:marLeft w:val="0"/>
      <w:marRight w:val="0"/>
      <w:marTop w:val="0"/>
      <w:marBottom w:val="0"/>
      <w:divBdr>
        <w:top w:val="none" w:sz="0" w:space="0" w:color="auto"/>
        <w:left w:val="none" w:sz="0" w:space="0" w:color="auto"/>
        <w:bottom w:val="none" w:sz="0" w:space="0" w:color="auto"/>
        <w:right w:val="none" w:sz="0" w:space="0" w:color="auto"/>
      </w:divBdr>
    </w:div>
    <w:div w:id="662666995">
      <w:bodyDiv w:val="1"/>
      <w:marLeft w:val="0"/>
      <w:marRight w:val="0"/>
      <w:marTop w:val="0"/>
      <w:marBottom w:val="0"/>
      <w:divBdr>
        <w:top w:val="none" w:sz="0" w:space="0" w:color="auto"/>
        <w:left w:val="none" w:sz="0" w:space="0" w:color="auto"/>
        <w:bottom w:val="none" w:sz="0" w:space="0" w:color="auto"/>
        <w:right w:val="none" w:sz="0" w:space="0" w:color="auto"/>
      </w:divBdr>
    </w:div>
    <w:div w:id="1099446371">
      <w:bodyDiv w:val="1"/>
      <w:marLeft w:val="0"/>
      <w:marRight w:val="0"/>
      <w:marTop w:val="0"/>
      <w:marBottom w:val="0"/>
      <w:divBdr>
        <w:top w:val="none" w:sz="0" w:space="0" w:color="auto"/>
        <w:left w:val="none" w:sz="0" w:space="0" w:color="auto"/>
        <w:bottom w:val="none" w:sz="0" w:space="0" w:color="auto"/>
        <w:right w:val="none" w:sz="0" w:space="0" w:color="auto"/>
      </w:divBdr>
    </w:div>
    <w:div w:id="1506938299">
      <w:bodyDiv w:val="1"/>
      <w:marLeft w:val="0"/>
      <w:marRight w:val="0"/>
      <w:marTop w:val="0"/>
      <w:marBottom w:val="0"/>
      <w:divBdr>
        <w:top w:val="none" w:sz="0" w:space="0" w:color="auto"/>
        <w:left w:val="none" w:sz="0" w:space="0" w:color="auto"/>
        <w:bottom w:val="none" w:sz="0" w:space="0" w:color="auto"/>
        <w:right w:val="none" w:sz="0" w:space="0" w:color="auto"/>
      </w:divBdr>
      <w:divsChild>
        <w:div w:id="1268585651">
          <w:marLeft w:val="562"/>
          <w:marRight w:val="0"/>
          <w:marTop w:val="0"/>
          <w:marBottom w:val="0"/>
          <w:divBdr>
            <w:top w:val="none" w:sz="0" w:space="0" w:color="auto"/>
            <w:left w:val="none" w:sz="0" w:space="0" w:color="auto"/>
            <w:bottom w:val="none" w:sz="0" w:space="0" w:color="auto"/>
            <w:right w:val="none" w:sz="0" w:space="0" w:color="auto"/>
          </w:divBdr>
        </w:div>
        <w:div w:id="604308181">
          <w:marLeft w:val="562"/>
          <w:marRight w:val="0"/>
          <w:marTop w:val="0"/>
          <w:marBottom w:val="0"/>
          <w:divBdr>
            <w:top w:val="none" w:sz="0" w:space="0" w:color="auto"/>
            <w:left w:val="none" w:sz="0" w:space="0" w:color="auto"/>
            <w:bottom w:val="none" w:sz="0" w:space="0" w:color="auto"/>
            <w:right w:val="none" w:sz="0" w:space="0" w:color="auto"/>
          </w:divBdr>
        </w:div>
        <w:div w:id="168911190">
          <w:marLeft w:val="562"/>
          <w:marRight w:val="0"/>
          <w:marTop w:val="0"/>
          <w:marBottom w:val="0"/>
          <w:divBdr>
            <w:top w:val="none" w:sz="0" w:space="0" w:color="auto"/>
            <w:left w:val="none" w:sz="0" w:space="0" w:color="auto"/>
            <w:bottom w:val="none" w:sz="0" w:space="0" w:color="auto"/>
            <w:right w:val="none" w:sz="0" w:space="0" w:color="auto"/>
          </w:divBdr>
        </w:div>
        <w:div w:id="1443918943">
          <w:marLeft w:val="562"/>
          <w:marRight w:val="0"/>
          <w:marTop w:val="0"/>
          <w:marBottom w:val="0"/>
          <w:divBdr>
            <w:top w:val="none" w:sz="0" w:space="0" w:color="auto"/>
            <w:left w:val="none" w:sz="0" w:space="0" w:color="auto"/>
            <w:bottom w:val="none" w:sz="0" w:space="0" w:color="auto"/>
            <w:right w:val="none" w:sz="0" w:space="0" w:color="auto"/>
          </w:divBdr>
        </w:div>
        <w:div w:id="849180816">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ectors/medical-devices/guidance/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etCEma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E31F-922F-4A8D-814E-439A1975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5781</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 Игорь Михайлович</dc:creator>
  <cp:keywords/>
  <dc:description>info@getCEmark.ru</dc:description>
  <cp:lastModifiedBy>IgorZ</cp:lastModifiedBy>
  <cp:revision>5</cp:revision>
  <cp:lastPrinted>2016-05-24T16:05:00Z</cp:lastPrinted>
  <dcterms:created xsi:type="dcterms:W3CDTF">2016-01-09T07:24:00Z</dcterms:created>
  <dcterms:modified xsi:type="dcterms:W3CDTF">2016-05-24T16:05:00Z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Звягин И.М. info@getCEmark.ru</vt:lpwstr>
  </property>
</Properties>
</file>