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B1" w:rsidRPr="00A10CB6" w:rsidRDefault="00360AB1" w:rsidP="00663149">
      <w:pPr>
        <w:rPr>
          <w:rFonts w:cs="Arial"/>
        </w:rPr>
      </w:pPr>
      <w:bookmarkStart w:id="0" w:name="_GoBack"/>
      <w:bookmarkEnd w:id="0"/>
    </w:p>
    <w:p w:rsidR="00360AB1" w:rsidRPr="00666CF9" w:rsidRDefault="00360AB1" w:rsidP="00666CF9"/>
    <w:p w:rsidR="00360AB1" w:rsidRPr="00666CF9" w:rsidRDefault="00360AB1" w:rsidP="00666CF9"/>
    <w:p w:rsidR="00BB10BD" w:rsidRPr="00666CF9" w:rsidRDefault="00BB10BD" w:rsidP="00666CF9"/>
    <w:p w:rsidR="00BB10BD" w:rsidRPr="00666CF9" w:rsidRDefault="00BB10BD" w:rsidP="00666CF9"/>
    <w:p w:rsidR="00360AB1" w:rsidRPr="00666CF9" w:rsidRDefault="00360AB1" w:rsidP="00666CF9"/>
    <w:p w:rsidR="00360AB1" w:rsidRPr="00666CF9" w:rsidRDefault="00360AB1" w:rsidP="00666CF9"/>
    <w:p w:rsidR="00C92DBD" w:rsidRPr="00666CF9" w:rsidRDefault="00C61573" w:rsidP="00666CF9">
      <w:pPr>
        <w:pStyle w:val="29-zim"/>
      </w:pPr>
      <w:r w:rsidRPr="00666CF9">
        <w:t>ПОЛИТИКА</w:t>
      </w:r>
      <w:r w:rsidRPr="00666CF9">
        <w:br/>
      </w:r>
      <w:r w:rsidR="00774D7E" w:rsidRPr="00666CF9">
        <w:t>использования электронной почты</w:t>
      </w:r>
      <w:r w:rsidR="00793B98" w:rsidRPr="00666CF9">
        <w:br/>
      </w:r>
      <w:fldSimple w:instr=" SUBJECT   \* MERGEFORMAT ">
        <w:r w:rsidR="00AE1C09" w:rsidRPr="00666CF9">
          <w:t>СМИБ ХХХ-1E1</w:t>
        </w:r>
      </w:fldSimple>
    </w:p>
    <w:p w:rsidR="006065AA" w:rsidRPr="00666CF9" w:rsidRDefault="00924686" w:rsidP="00666CF9">
      <w:pPr>
        <w:pStyle w:val="29-zim"/>
      </w:pPr>
      <w:r w:rsidRPr="00666CF9">
        <w:t>ПЛ 11.4.1</w:t>
      </w:r>
      <w:r w:rsidR="00663149" w:rsidRPr="00666CF9">
        <w:br w:type="page"/>
      </w:r>
      <w:r w:rsidR="006065AA" w:rsidRPr="00666CF9">
        <w:lastRenderedPageBreak/>
        <w:t>ПРЕДИСЛОВИЕ</w:t>
      </w:r>
    </w:p>
    <w:tbl>
      <w:tblPr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796"/>
        <w:gridCol w:w="3888"/>
        <w:gridCol w:w="1670"/>
      </w:tblGrid>
      <w:tr w:rsidR="006065AA" w:rsidRPr="00C226C6">
        <w:trPr>
          <w:cantSplit/>
        </w:trPr>
        <w:tc>
          <w:tcPr>
            <w:tcW w:w="3865" w:type="dxa"/>
          </w:tcPr>
          <w:p w:rsidR="006065AA" w:rsidRPr="00C226C6" w:rsidRDefault="006065AA" w:rsidP="00386A44"/>
        </w:tc>
        <w:tc>
          <w:tcPr>
            <w:tcW w:w="3960" w:type="dxa"/>
          </w:tcPr>
          <w:p w:rsidR="006065AA" w:rsidRPr="00C226C6" w:rsidRDefault="006065AA" w:rsidP="00386A4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Pr="00793B98">
              <w:rPr>
                <w:b/>
              </w:rPr>
              <w:t>/</w:t>
            </w:r>
            <w:r>
              <w:rPr>
                <w:b/>
              </w:rPr>
              <w:t>ФИО</w:t>
            </w:r>
            <w:r w:rsidRPr="00793B98">
              <w:rPr>
                <w:b/>
              </w:rPr>
              <w:t>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  <w:rPr>
                <w:b/>
              </w:rPr>
            </w:pPr>
            <w:r w:rsidRPr="00C226C6">
              <w:rPr>
                <w:b/>
              </w:rPr>
              <w:t>Дата: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numPr>
                <w:ilvl w:val="0"/>
                <w:numId w:val="24"/>
              </w:numPr>
              <w:rPr>
                <w:b/>
              </w:rPr>
            </w:pPr>
            <w:r w:rsidRPr="00065420">
              <w:rPr>
                <w:b/>
              </w:rPr>
              <w:t>РАЗРАБОТАНО: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F52EF">
            <w:pPr>
              <w:jc w:val="right"/>
            </w:pPr>
            <w:r w:rsidRPr="00C226C6">
              <w:t>_________</w:t>
            </w:r>
            <w:r w:rsidRPr="00793B98">
              <w:t>_</w:t>
            </w:r>
            <w:r w:rsidRPr="00C226C6">
              <w:t>_______/_________ 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numPr>
                <w:ilvl w:val="0"/>
                <w:numId w:val="24"/>
              </w:numPr>
              <w:rPr>
                <w:b/>
              </w:rPr>
            </w:pPr>
            <w:r w:rsidRPr="00065420">
              <w:rPr>
                <w:b/>
              </w:rPr>
              <w:t>ПРОВЕРЕНО: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86A44">
            <w:pPr>
              <w:jc w:val="right"/>
            </w:pP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numPr>
                <w:ilvl w:val="0"/>
                <w:numId w:val="24"/>
              </w:numPr>
              <w:rPr>
                <w:b/>
              </w:rPr>
            </w:pPr>
            <w:r w:rsidRPr="00065420">
              <w:rPr>
                <w:b/>
              </w:rPr>
              <w:t>СОГЛАСОВАНО: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F52EF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 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Согласовывают руководители тех подразделений которые являются поставщиками и клиентами данного процесса (см. карту процессов)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F52EF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 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Название должности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F52EF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 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Название должности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F52EF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 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Название должности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F52EF">
            <w:pPr>
              <w:jc w:val="right"/>
            </w:pPr>
            <w:r w:rsidRPr="00C226C6">
              <w:t>_________</w:t>
            </w:r>
            <w:r>
              <w:rPr>
                <w:lang w:val="en-US"/>
              </w:rPr>
              <w:t>_</w:t>
            </w:r>
            <w:r w:rsidRPr="00C226C6">
              <w:t>_______/_________ /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  <w:r w:rsidRPr="00C226C6">
              <w:t>___.__.</w:t>
            </w:r>
            <w:r w:rsidR="000955C7">
              <w:t>201__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numPr>
                <w:ilvl w:val="0"/>
                <w:numId w:val="24"/>
              </w:numPr>
              <w:rPr>
                <w:b/>
              </w:rPr>
            </w:pPr>
            <w:r w:rsidRPr="00065420">
              <w:rPr>
                <w:b/>
              </w:rPr>
              <w:t>УТВЕРЖДЕНО:</w:t>
            </w:r>
          </w:p>
        </w:tc>
        <w:tc>
          <w:tcPr>
            <w:tcW w:w="3960" w:type="dxa"/>
            <w:vAlign w:val="bottom"/>
          </w:tcPr>
          <w:p w:rsidR="006065AA" w:rsidRPr="00C226C6" w:rsidRDefault="006065AA" w:rsidP="00386A44">
            <w:pPr>
              <w:jc w:val="right"/>
            </w:pP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Генеральный директор</w:t>
            </w:r>
          </w:p>
        </w:tc>
        <w:tc>
          <w:tcPr>
            <w:tcW w:w="3960" w:type="dxa"/>
            <w:vAlign w:val="bottom"/>
          </w:tcPr>
          <w:p w:rsidR="006065AA" w:rsidRPr="00CD2FD8" w:rsidRDefault="006065AA" w:rsidP="00CD2FD8">
            <w:pPr>
              <w:jc w:val="right"/>
              <w:rPr>
                <w:lang w:val="en-US"/>
              </w:rPr>
            </w:pPr>
            <w:r w:rsidRPr="00065420">
              <w:t>_________________/</w:t>
            </w:r>
            <w:r w:rsidR="00CD2FD8">
              <w:rPr>
                <w:lang w:val="en-US"/>
              </w:rPr>
              <w:t>DIREKTOR</w:t>
            </w:r>
          </w:p>
        </w:tc>
        <w:tc>
          <w:tcPr>
            <w:tcW w:w="1699" w:type="dxa"/>
          </w:tcPr>
          <w:p w:rsidR="006065AA" w:rsidRPr="00065420" w:rsidRDefault="006065AA" w:rsidP="00386A44">
            <w:pPr>
              <w:jc w:val="right"/>
            </w:pPr>
          </w:p>
        </w:tc>
      </w:tr>
      <w:tr w:rsidR="006065AA" w:rsidRPr="00C226C6">
        <w:trPr>
          <w:cantSplit/>
        </w:trPr>
        <w:tc>
          <w:tcPr>
            <w:tcW w:w="9524" w:type="dxa"/>
            <w:gridSpan w:val="3"/>
          </w:tcPr>
          <w:p w:rsidR="006065AA" w:rsidRPr="00065420" w:rsidRDefault="006065AA" w:rsidP="00386A44">
            <w:pPr>
              <w:jc w:val="right"/>
            </w:pPr>
            <w:r w:rsidRPr="00065420">
              <w:t>Утвержден и введен в действие приказом директора  от ___.__.</w:t>
            </w:r>
            <w:r w:rsidR="000955C7">
              <w:t>201__</w:t>
            </w:r>
            <w:r w:rsidRPr="00065420">
              <w:t xml:space="preserve"> г. №___/___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numPr>
                <w:ilvl w:val="0"/>
                <w:numId w:val="24"/>
              </w:numPr>
              <w:rPr>
                <w:b/>
              </w:rPr>
            </w:pPr>
            <w:r w:rsidRPr="00065420">
              <w:rPr>
                <w:b/>
              </w:rPr>
              <w:t>СРОКИ ДЕЙСТВИЯ:</w:t>
            </w:r>
          </w:p>
        </w:tc>
        <w:tc>
          <w:tcPr>
            <w:tcW w:w="3960" w:type="dxa"/>
            <w:vAlign w:val="center"/>
          </w:tcPr>
          <w:p w:rsidR="006065AA" w:rsidRPr="00983B99" w:rsidRDefault="006065AA" w:rsidP="00386A44">
            <w:pPr>
              <w:jc w:val="center"/>
            </w:pPr>
          </w:p>
        </w:tc>
        <w:tc>
          <w:tcPr>
            <w:tcW w:w="1699" w:type="dxa"/>
            <w:vAlign w:val="center"/>
          </w:tcPr>
          <w:p w:rsidR="006065AA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br w:type="page"/>
              <w:t>Дата вступления в силу</w:t>
            </w:r>
          </w:p>
        </w:tc>
        <w:tc>
          <w:tcPr>
            <w:tcW w:w="3960" w:type="dxa"/>
            <w:vAlign w:val="center"/>
          </w:tcPr>
          <w:p w:rsidR="006065AA" w:rsidRPr="00C226C6" w:rsidRDefault="006065AA" w:rsidP="00386A44">
            <w:r>
              <w:t xml:space="preserve">от </w:t>
            </w:r>
            <w:r w:rsidRPr="00C226C6">
              <w:t>___.__.</w:t>
            </w:r>
            <w:r w:rsidR="000955C7">
              <w:t>201__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Действует до:</w:t>
            </w:r>
          </w:p>
        </w:tc>
        <w:tc>
          <w:tcPr>
            <w:tcW w:w="3960" w:type="dxa"/>
            <w:vAlign w:val="center"/>
          </w:tcPr>
          <w:p w:rsidR="006065AA" w:rsidRPr="00983B99" w:rsidRDefault="006065AA" w:rsidP="00386A44">
            <w:r>
              <w:t xml:space="preserve">от </w:t>
            </w:r>
            <w:r w:rsidRPr="00C226C6">
              <w:t>___.__.</w:t>
            </w:r>
            <w:r w:rsidR="000955C7">
              <w:t>201__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бессрочный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Дата последнего пересмотра</w:t>
            </w:r>
          </w:p>
        </w:tc>
        <w:tc>
          <w:tcPr>
            <w:tcW w:w="3960" w:type="dxa"/>
            <w:vAlign w:val="center"/>
          </w:tcPr>
          <w:p w:rsidR="006065AA" w:rsidRPr="00C226C6" w:rsidRDefault="006065AA" w:rsidP="00386A44">
            <w:r>
              <w:t xml:space="preserve">от </w:t>
            </w:r>
            <w:r w:rsidRPr="00C226C6">
              <w:t>___.__.</w:t>
            </w:r>
            <w:r w:rsidR="000955C7">
              <w:t>201__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3F52EF" w:rsidRPr="00C226C6" w:rsidTr="0083238F">
        <w:trPr>
          <w:cantSplit/>
        </w:trPr>
        <w:tc>
          <w:tcPr>
            <w:tcW w:w="7825" w:type="dxa"/>
            <w:gridSpan w:val="2"/>
          </w:tcPr>
          <w:p w:rsidR="003F52EF" w:rsidRDefault="003F52EF" w:rsidP="00386A44">
            <w:r w:rsidRPr="00065420">
              <w:rPr>
                <w:b/>
              </w:rPr>
              <w:t>РЕКВИЗИТЫ ДОКУМЕНТА:</w:t>
            </w:r>
          </w:p>
        </w:tc>
        <w:tc>
          <w:tcPr>
            <w:tcW w:w="1699" w:type="dxa"/>
          </w:tcPr>
          <w:p w:rsidR="003F52EF" w:rsidRPr="00C226C6" w:rsidRDefault="003F52EF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Номер</w:t>
            </w:r>
          </w:p>
        </w:tc>
        <w:tc>
          <w:tcPr>
            <w:tcW w:w="3960" w:type="dxa"/>
            <w:vAlign w:val="center"/>
          </w:tcPr>
          <w:p w:rsidR="006065AA" w:rsidRPr="00094FDF" w:rsidRDefault="001D5AB4" w:rsidP="00386A44">
            <w:r>
              <w:fldChar w:fldCharType="begin"/>
            </w:r>
            <w:r>
              <w:instrText xml:space="preserve"> SUBJECT   \* MERGEFORMAT </w:instrText>
            </w:r>
            <w:r>
              <w:fldChar w:fldCharType="separate"/>
            </w:r>
            <w:r w:rsidR="006065AA">
              <w:t>СМИБ ХХХ-1E1</w:t>
            </w:r>
            <w:r>
              <w:fldChar w:fldCharType="end"/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Статус</w:t>
            </w:r>
          </w:p>
        </w:tc>
        <w:tc>
          <w:tcPr>
            <w:tcW w:w="3960" w:type="dxa"/>
            <w:vAlign w:val="center"/>
          </w:tcPr>
          <w:p w:rsidR="006065AA" w:rsidRDefault="006065AA" w:rsidP="00386A44">
            <w:r w:rsidRPr="00983B99">
              <w:fldChar w:fldCharType="begin"/>
            </w:r>
            <w:r w:rsidRPr="00983B99">
              <w:instrText xml:space="preserve"> DOCPROPERTY  Keywords  \* MERGEFORMAT </w:instrText>
            </w:r>
            <w:r w:rsidRPr="00983B99">
              <w:fldChar w:fldCharType="end"/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Версия</w:t>
            </w:r>
          </w:p>
        </w:tc>
        <w:tc>
          <w:tcPr>
            <w:tcW w:w="3960" w:type="dxa"/>
            <w:vAlign w:val="center"/>
          </w:tcPr>
          <w:p w:rsidR="006065AA" w:rsidRDefault="006065AA" w:rsidP="00386A44">
            <w:r w:rsidRPr="00983B99">
              <w:fldChar w:fldCharType="begin"/>
            </w:r>
            <w:r w:rsidRPr="00983B99">
              <w:instrText xml:space="preserve"> INFO  Comments  \* MERGEFORMAT </w:instrText>
            </w:r>
            <w:r w:rsidRPr="00983B99">
              <w:fldChar w:fldCharType="end"/>
            </w:r>
            <w:r w:rsidR="001D5AB4">
              <w:fldChar w:fldCharType="begin"/>
            </w:r>
            <w:r w:rsidR="001D5AB4">
              <w:instrText xml:space="preserve"> DOCPROPERTY  RevisionNumber  \* MERGEFORMAT </w:instrText>
            </w:r>
            <w:r w:rsidR="001D5AB4">
              <w:fldChar w:fldCharType="separate"/>
            </w:r>
            <w:r>
              <w:t>2</w:t>
            </w:r>
            <w:r w:rsidR="001D5AB4">
              <w:fldChar w:fldCharType="end"/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Заменяет</w:t>
            </w:r>
          </w:p>
        </w:tc>
        <w:tc>
          <w:tcPr>
            <w:tcW w:w="3960" w:type="dxa"/>
            <w:vAlign w:val="center"/>
          </w:tcPr>
          <w:p w:rsidR="006065AA" w:rsidRPr="00983B99" w:rsidRDefault="006065AA" w:rsidP="00386A44">
            <w:r w:rsidRPr="00983B99">
              <w:t>Введен впервые</w:t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Страниц всего</w:t>
            </w:r>
          </w:p>
        </w:tc>
        <w:tc>
          <w:tcPr>
            <w:tcW w:w="3960" w:type="dxa"/>
            <w:vAlign w:val="bottom"/>
          </w:tcPr>
          <w:p w:rsidR="006065AA" w:rsidRPr="00983B99" w:rsidRDefault="001D5AB4" w:rsidP="00386A44"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 w:rsidR="006065AA" w:rsidRPr="00983B99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Область действия</w:t>
            </w:r>
          </w:p>
        </w:tc>
        <w:tc>
          <w:tcPr>
            <w:tcW w:w="3960" w:type="dxa"/>
            <w:vAlign w:val="bottom"/>
          </w:tcPr>
          <w:p w:rsidR="006065AA" w:rsidRPr="00983B99" w:rsidRDefault="006065AA" w:rsidP="00386A44">
            <w:r w:rsidRPr="00983B99">
              <w:fldChar w:fldCharType="begin"/>
            </w:r>
            <w:r w:rsidRPr="00983B99">
              <w:instrText xml:space="preserve"> DOCPROPERTY  Category  \* MERGEFORMAT </w:instrText>
            </w:r>
            <w:r w:rsidRPr="00983B99">
              <w:fldChar w:fldCharType="end"/>
            </w:r>
          </w:p>
        </w:tc>
        <w:tc>
          <w:tcPr>
            <w:tcW w:w="1699" w:type="dxa"/>
          </w:tcPr>
          <w:p w:rsidR="006065AA" w:rsidRPr="00C226C6" w:rsidRDefault="006065AA" w:rsidP="00386A44">
            <w:pPr>
              <w:jc w:val="center"/>
            </w:pPr>
          </w:p>
        </w:tc>
      </w:tr>
      <w:tr w:rsidR="003F52EF" w:rsidRPr="00C226C6" w:rsidTr="000F2DC3">
        <w:trPr>
          <w:cantSplit/>
        </w:trPr>
        <w:tc>
          <w:tcPr>
            <w:tcW w:w="7825" w:type="dxa"/>
            <w:gridSpan w:val="2"/>
          </w:tcPr>
          <w:p w:rsidR="003F52EF" w:rsidRDefault="003F52EF" w:rsidP="003F52EF">
            <w:pPr>
              <w:jc w:val="left"/>
            </w:pPr>
            <w:r w:rsidRPr="00065420">
              <w:rPr>
                <w:b/>
              </w:rPr>
              <w:t>МЕСТО ХРАНЕНИЯ ДОКУМЕНТА:</w:t>
            </w:r>
          </w:p>
        </w:tc>
        <w:tc>
          <w:tcPr>
            <w:tcW w:w="1699" w:type="dxa"/>
          </w:tcPr>
          <w:p w:rsidR="003F52EF" w:rsidRPr="00C226C6" w:rsidRDefault="003F52EF" w:rsidP="00386A44">
            <w:pPr>
              <w:jc w:val="center"/>
            </w:pP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в электронном виде</w:t>
            </w:r>
          </w:p>
        </w:tc>
        <w:tc>
          <w:tcPr>
            <w:tcW w:w="5659" w:type="dxa"/>
            <w:gridSpan w:val="2"/>
          </w:tcPr>
          <w:p w:rsidR="006065AA" w:rsidRPr="00094FDF" w:rsidRDefault="006065AA" w:rsidP="00386A44">
            <w:pPr>
              <w:rPr>
                <w:lang w:val="en-US"/>
              </w:rPr>
            </w:pPr>
            <w:r w:rsidRPr="00094FDF">
              <w:t>\\Server\общая\</w:t>
            </w:r>
            <w:r>
              <w:rPr>
                <w:lang w:val="en-US"/>
              </w:rPr>
              <w:t>ISMS</w:t>
            </w:r>
          </w:p>
        </w:tc>
      </w:tr>
      <w:tr w:rsidR="006065AA" w:rsidRPr="00C226C6">
        <w:trPr>
          <w:cantSplit/>
        </w:trPr>
        <w:tc>
          <w:tcPr>
            <w:tcW w:w="3865" w:type="dxa"/>
          </w:tcPr>
          <w:p w:rsidR="006065AA" w:rsidRPr="00065420" w:rsidRDefault="006065AA" w:rsidP="00386A44">
            <w:pPr>
              <w:jc w:val="right"/>
            </w:pPr>
            <w:r w:rsidRPr="00065420">
              <w:t>в печатном виде</w:t>
            </w:r>
          </w:p>
        </w:tc>
        <w:tc>
          <w:tcPr>
            <w:tcW w:w="5659" w:type="dxa"/>
            <w:gridSpan w:val="2"/>
            <w:tcBorders>
              <w:bottom w:val="dashed" w:sz="18" w:space="0" w:color="FF0000"/>
            </w:tcBorders>
          </w:tcPr>
          <w:p w:rsidR="006065AA" w:rsidRPr="00094FDF" w:rsidRDefault="006065AA" w:rsidP="00386A44">
            <w:r w:rsidRPr="00094FDF">
              <w:t>Подписанный экземпляр хранится в комнате №</w:t>
            </w:r>
          </w:p>
        </w:tc>
      </w:tr>
      <w:tr w:rsidR="006065AA" w:rsidRPr="00094FDF">
        <w:trPr>
          <w:cantSplit/>
          <w:trHeight w:val="1653"/>
        </w:trPr>
        <w:tc>
          <w:tcPr>
            <w:tcW w:w="3865" w:type="dxa"/>
            <w:tcBorders>
              <w:right w:val="dashed" w:sz="18" w:space="0" w:color="FF0000"/>
            </w:tcBorders>
          </w:tcPr>
          <w:p w:rsidR="006065AA" w:rsidRPr="00094FDF" w:rsidRDefault="006065AA" w:rsidP="00386A44"/>
        </w:tc>
        <w:tc>
          <w:tcPr>
            <w:tcW w:w="5659" w:type="dxa"/>
            <w:gridSpan w:val="2"/>
            <w:tcBorders>
              <w:top w:val="dashed" w:sz="18" w:space="0" w:color="FF0000"/>
              <w:left w:val="dashed" w:sz="18" w:space="0" w:color="FF0000"/>
              <w:bottom w:val="dashed" w:sz="18" w:space="0" w:color="FF0000"/>
              <w:right w:val="dashed" w:sz="18" w:space="0" w:color="FF0000"/>
            </w:tcBorders>
          </w:tcPr>
          <w:p w:rsidR="006065AA" w:rsidRPr="00094FDF" w:rsidRDefault="006065AA" w:rsidP="00462C3B">
            <w:pPr>
              <w:jc w:val="center"/>
              <w:rPr>
                <w:highlight w:val="lightGray"/>
              </w:rPr>
            </w:pPr>
            <w:r w:rsidRPr="0002332F">
              <w:rPr>
                <w:b/>
              </w:rPr>
              <w:t>ВНИМАНИЕ!</w:t>
            </w:r>
            <w:r>
              <w:rPr>
                <w:b/>
              </w:rPr>
              <w:br/>
            </w:r>
            <w:r w:rsidR="00462C3B" w:rsidRPr="003F52EF">
              <w:rPr>
                <w:sz w:val="20"/>
              </w:rPr>
              <w:t>Перед использованием бумажной копии данного</w:t>
            </w:r>
            <w:r w:rsidR="00462C3B" w:rsidRPr="003F52EF">
              <w:rPr>
                <w:sz w:val="20"/>
              </w:rPr>
              <w:br/>
              <w:t>документа убедитесь в том, что она соответствует</w:t>
            </w:r>
            <w:r w:rsidR="00462C3B" w:rsidRPr="003F52EF">
              <w:rPr>
                <w:sz w:val="20"/>
              </w:rPr>
              <w:br/>
              <w:t>последней редакции расположенной в разделе</w:t>
            </w:r>
            <w:r w:rsidR="00462C3B" w:rsidRPr="003F52EF">
              <w:rPr>
                <w:sz w:val="20"/>
              </w:rPr>
              <w:br/>
              <w:t>«Документированные процедуры СМК»</w:t>
            </w:r>
            <w:r w:rsidR="00462C3B" w:rsidRPr="003F52EF">
              <w:rPr>
                <w:sz w:val="20"/>
              </w:rPr>
              <w:br/>
              <w:t xml:space="preserve">на сервере по адресу: </w:t>
            </w:r>
            <w:r w:rsidR="00462C3B" w:rsidRPr="003F52EF">
              <w:rPr>
                <w:sz w:val="20"/>
                <w:u w:val="single"/>
              </w:rPr>
              <w:t>\\Server\общая\ИСО</w:t>
            </w:r>
          </w:p>
        </w:tc>
      </w:tr>
    </w:tbl>
    <w:p w:rsidR="006065AA" w:rsidRPr="00094FDF" w:rsidRDefault="006065AA" w:rsidP="006065AA">
      <w:pPr>
        <w:pStyle w:val="End0"/>
      </w:pPr>
    </w:p>
    <w:p w:rsidR="00FD2F1F" w:rsidRPr="003F52EF" w:rsidRDefault="006065AA" w:rsidP="003F52EF">
      <w:pPr>
        <w:pStyle w:val="1"/>
      </w:pPr>
      <w:r w:rsidRPr="003A7DDE">
        <w:rPr>
          <w:rStyle w:val="End"/>
        </w:rPr>
        <w:br w:type="page"/>
      </w:r>
      <w:r w:rsidR="00FD2F1F" w:rsidRPr="003F52EF">
        <w:lastRenderedPageBreak/>
        <w:t>Общие положения</w:t>
      </w:r>
    </w:p>
    <w:p w:rsidR="00774D7E" w:rsidRPr="00666CF9" w:rsidRDefault="00774D7E" w:rsidP="00666CF9">
      <w:r w:rsidRPr="00666CF9">
        <w:t xml:space="preserve">Настоящая политика определяет правила использования корпоративной электронной почты в </w:t>
      </w:r>
      <w:r w:rsidR="00CD2FD8" w:rsidRPr="00666CF9">
        <w:t>FIRMA</w:t>
      </w:r>
      <w:r w:rsidR="00FD2F1F" w:rsidRPr="00666CF9">
        <w:t xml:space="preserve"> (далее – Компании)</w:t>
      </w:r>
      <w:r w:rsidRPr="00666CF9">
        <w:t>.</w:t>
      </w:r>
    </w:p>
    <w:p w:rsidR="003A7DDE" w:rsidRPr="00666CF9" w:rsidRDefault="003A7DDE" w:rsidP="00666CF9">
      <w:r w:rsidRPr="00666CF9">
        <w:t>Электронные сообщения (</w:t>
      </w:r>
      <w:proofErr w:type="spellStart"/>
      <w:r w:rsidRPr="00666CF9">
        <w:t>удаленные</w:t>
      </w:r>
      <w:proofErr w:type="spellEnd"/>
      <w:r w:rsidRPr="00666CF9">
        <w:t xml:space="preserve"> или не </w:t>
      </w:r>
      <w:proofErr w:type="spellStart"/>
      <w:r w:rsidRPr="00666CF9">
        <w:t>удаленные</w:t>
      </w:r>
      <w:proofErr w:type="spellEnd"/>
      <w:r w:rsidRPr="00666CF9">
        <w:t>) могут быть доступны или получены государственными органами или конкурентами по бизнесу для их использования в качестве доказательств в процессе судебного разбирательства или при ведении бизнеса. Поэтому содержание электронных сообщений должно строго соответствовать стандартам Компании в области деловой этики.</w:t>
      </w:r>
    </w:p>
    <w:p w:rsidR="00C95B44" w:rsidRPr="00666CF9" w:rsidRDefault="00C95B44" w:rsidP="00666CF9">
      <w:r w:rsidRPr="00666CF9">
        <w:t xml:space="preserve">Сообщения, пересылаемые по электронной почте, представляют собой постоянно используемый инструмент для электронных коммуникаций, имеющих тот же статус, что и </w:t>
      </w:r>
      <w:proofErr w:type="gramStart"/>
      <w:r w:rsidRPr="00666CF9">
        <w:t>письма</w:t>
      </w:r>
      <w:proofErr w:type="gramEnd"/>
      <w:r w:rsidRPr="00666CF9">
        <w:t xml:space="preserve"> и факсимильные сообщения. Электронные сообщения подлежат такому же утверждению и хранению, что и прочие средства письменных коммуникаций.</w:t>
      </w:r>
    </w:p>
    <w:p w:rsidR="00C95B44" w:rsidRPr="00666CF9" w:rsidRDefault="00C95B44" w:rsidP="00666CF9">
      <w:r w:rsidRPr="00666CF9">
        <w:t>Сотрудники Компании для обмена документами с бизнес</w:t>
      </w:r>
      <w:r w:rsidR="00FD2F1F" w:rsidRPr="00666CF9">
        <w:t>-</w:t>
      </w:r>
      <w:proofErr w:type="spellStart"/>
      <w:r w:rsidRPr="00666CF9">
        <w:t>партнерами</w:t>
      </w:r>
      <w:proofErr w:type="spellEnd"/>
      <w:r w:rsidRPr="00666CF9">
        <w:t xml:space="preserve"> должны использовать только свой официальный адрес электронной почты. Отправитель электронного сообщения, документа или лицо, которое его переадресовывает, должен указать </w:t>
      </w:r>
      <w:proofErr w:type="spellStart"/>
      <w:r w:rsidRPr="00666CF9">
        <w:t>свое</w:t>
      </w:r>
      <w:proofErr w:type="spellEnd"/>
      <w:r w:rsidRPr="00666CF9">
        <w:t xml:space="preserve"> имя и фамилию, служебный адрес и тему сообщения. Ко всем исходящим сообщениям, направляемым внешним пользователям, пользователь может добавлять уведомление о конфиденциальности.</w:t>
      </w:r>
    </w:p>
    <w:p w:rsidR="003A7DDE" w:rsidRPr="00666CF9" w:rsidRDefault="000C2D64" w:rsidP="00666CF9">
      <w:r w:rsidRPr="00666CF9">
        <w:t xml:space="preserve">Запрещается использовать публичные почтовые ящики электронной почты созданные на внешних Интернет-ресурсах таких как </w:t>
      </w:r>
      <w:hyperlink r:id="rId7" w:history="1">
        <w:r w:rsidRPr="00666CF9">
          <w:t>www.gmail.com</w:t>
        </w:r>
      </w:hyperlink>
      <w:r w:rsidRPr="00666CF9">
        <w:t xml:space="preserve">, </w:t>
      </w:r>
      <w:hyperlink r:id="rId8" w:history="1">
        <w:r w:rsidRPr="00666CF9">
          <w:t>www.mail.ru</w:t>
        </w:r>
      </w:hyperlink>
      <w:r w:rsidRPr="00666CF9">
        <w:t xml:space="preserve"> и </w:t>
      </w:r>
      <w:proofErr w:type="spellStart"/>
      <w:r w:rsidRPr="00666CF9">
        <w:t>т.п</w:t>
      </w:r>
      <w:proofErr w:type="spellEnd"/>
      <w:r w:rsidRPr="00666CF9">
        <w:t xml:space="preserve"> для осуществления какого-либо из видов корпоративной деятельности. </w:t>
      </w:r>
      <w:r w:rsidR="003A7DDE" w:rsidRPr="00666CF9">
        <w:t xml:space="preserve">Использование сотрудниками Компании публичных почтовых ящиков электронной почты осуществляется только при согласовании с </w:t>
      </w:r>
      <w:r w:rsidR="00FD2F1F" w:rsidRPr="00666CF9">
        <w:t>Информационно-техническим департаментом (</w:t>
      </w:r>
      <w:r w:rsidR="00CB14CC" w:rsidRPr="00666CF9">
        <w:t>-------</w:t>
      </w:r>
      <w:proofErr w:type="gramStart"/>
      <w:r w:rsidR="00FD2F1F" w:rsidRPr="00666CF9">
        <w:t xml:space="preserve">) </w:t>
      </w:r>
      <w:r w:rsidR="003A7DDE" w:rsidRPr="00666CF9">
        <w:t xml:space="preserve"> при</w:t>
      </w:r>
      <w:proofErr w:type="gramEnd"/>
      <w:r w:rsidR="003A7DDE" w:rsidRPr="00666CF9">
        <w:t xml:space="preserve"> условии применения </w:t>
      </w:r>
      <w:r w:rsidRPr="00666CF9">
        <w:t xml:space="preserve">установленных Компанией </w:t>
      </w:r>
      <w:r w:rsidR="003A7DDE" w:rsidRPr="00666CF9">
        <w:t>механизмов шифрования.</w:t>
      </w:r>
    </w:p>
    <w:p w:rsidR="003A7DDE" w:rsidRPr="00666CF9" w:rsidRDefault="003A7DDE" w:rsidP="00666CF9">
      <w:r w:rsidRPr="00666CF9">
        <w:t xml:space="preserve">В целях предотвращения ошибок при отправке сообщений пользователи перед отправкой должны внимательно проверить правильность написания </w:t>
      </w:r>
      <w:proofErr w:type="spellStart"/>
      <w:r w:rsidRPr="00666CF9">
        <w:t>имен</w:t>
      </w:r>
      <w:proofErr w:type="spellEnd"/>
      <w:r w:rsidRPr="00666CF9">
        <w:t xml:space="preserve"> и адресов получателей. В случае получения сообщения лицом, вниманию которого это сообщение не предназначается, такое сообщение необходимо переправить непосредственному получателю. Если полученная таким образом информация носит конфиденциальный характер, об этом следует незамедлительно проинформировать специалистов </w:t>
      </w:r>
      <w:r w:rsidR="00FD2F1F" w:rsidRPr="00666CF9">
        <w:t>Информационно-технического департамента (</w:t>
      </w:r>
      <w:r w:rsidR="00CB14CC" w:rsidRPr="00666CF9">
        <w:t>-------</w:t>
      </w:r>
      <w:r w:rsidR="00FD2F1F" w:rsidRPr="00666CF9">
        <w:t>)</w:t>
      </w:r>
      <w:r w:rsidRPr="00666CF9">
        <w:t>.</w:t>
      </w:r>
    </w:p>
    <w:p w:rsidR="003A7DDE" w:rsidRPr="00666CF9" w:rsidRDefault="003A7DDE" w:rsidP="00666CF9">
      <w:r w:rsidRPr="00666CF9">
        <w:t>Вложения, отправляемые вместе с сообщениями, следует использовать с должной осторожностью. Во вложениях всегда должна указываться дата их подготовки, и они должны оформляться в соответствии с установленными в Компании процедурами документооборота.</w:t>
      </w:r>
    </w:p>
    <w:p w:rsidR="00E10016" w:rsidRPr="00850B7E" w:rsidRDefault="00E10016" w:rsidP="003F52EF">
      <w:pPr>
        <w:pStyle w:val="1"/>
      </w:pPr>
      <w:r w:rsidRPr="00850B7E">
        <w:t>Сотруднику рекомендуется: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Регулярно проверять электронную почту (не реже, чем каждые полчаса).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Быть вежливым</w:t>
      </w:r>
      <w:r w:rsidR="003F52EF">
        <w:rPr>
          <w:rFonts w:cs="Arial"/>
        </w:rPr>
        <w:t xml:space="preserve"> в переписке</w:t>
      </w:r>
      <w:r w:rsidRPr="00850B7E">
        <w:rPr>
          <w:rFonts w:cs="Arial"/>
        </w:rPr>
        <w:t>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С аккуратностью пользоваться опцией «ответить всем» для исключения возможности пересылки сообщения ошибочным адресатам.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В случае, если отсутствует возможность проверить электронную почту в течение более чем одного рабочего дня, использовать функцию автоответа с указанием альтернативных средств связи.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Регулярно перемещать входящие и исходящие письма в локальный почтовый архив.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В случае если автор письма обращается к адресату с просьбой предпринять какие-нибудь действия, влекущие за собой передачу следующих данных: имя </w:t>
      </w:r>
      <w:r w:rsidRPr="00850B7E">
        <w:rPr>
          <w:rFonts w:cs="Arial"/>
        </w:rPr>
        <w:lastRenderedPageBreak/>
        <w:t xml:space="preserve">учетной записи пользователя, пароль, персональные данные сотрудника (имя, фамилия, номер паспорта, дата рождения, адрес), номер кредитной карты, предпринять необходимые действия для выяснения подлинности отправителя письма и правомерности подобной просьбы. </w:t>
      </w:r>
    </w:p>
    <w:p w:rsidR="00E10016" w:rsidRPr="00A10CB6" w:rsidRDefault="00E10016" w:rsidP="003F52EF">
      <w:pPr>
        <w:pStyle w:val="1"/>
      </w:pPr>
      <w:r w:rsidRPr="00A10CB6">
        <w:t>Сотруднику не рекомендуется:</w:t>
      </w:r>
    </w:p>
    <w:p w:rsidR="00CD2FD8" w:rsidRPr="00CD2FD8" w:rsidRDefault="00CD2FD8" w:rsidP="00CD2FD8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  <w:b/>
        </w:rPr>
      </w:pPr>
      <w:r w:rsidRPr="00CD2FD8">
        <w:rPr>
          <w:rFonts w:cs="Arial"/>
          <w:b/>
        </w:rPr>
        <w:t>Пересылать сообщения с пустой темой письма.</w:t>
      </w:r>
    </w:p>
    <w:p w:rsidR="00CD2FD8" w:rsidRPr="00850B7E" w:rsidRDefault="00CD2FD8" w:rsidP="00CD2FD8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Изменять в процессе переписки по определённому вопросу поле «Тема сообщения» без особой необходимости.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Переходить по </w:t>
      </w:r>
      <w:proofErr w:type="gramStart"/>
      <w:r w:rsidRPr="00850B7E">
        <w:rPr>
          <w:rFonts w:cs="Arial"/>
        </w:rPr>
        <w:t>ссылкам  в</w:t>
      </w:r>
      <w:proofErr w:type="gramEnd"/>
      <w:r w:rsidRPr="00850B7E">
        <w:rPr>
          <w:rFonts w:cs="Arial"/>
        </w:rPr>
        <w:t xml:space="preserve"> письмах из ненадежных источников.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При ответе на письмо, содержащее вложения, оставлять их в теле сообщения в случае отсутствия в этом явной необходимости.</w:t>
      </w:r>
    </w:p>
    <w:p w:rsidR="00E10016" w:rsidRPr="00CD2FD8" w:rsidRDefault="00EF0F08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  <w:b/>
        </w:rPr>
      </w:pPr>
      <w:r>
        <w:rPr>
          <w:rFonts w:cs="Arial"/>
          <w:b/>
        </w:rPr>
        <w:t>Без особых указаний руководства в</w:t>
      </w:r>
      <w:r w:rsidR="00E10016" w:rsidRPr="00CD2FD8">
        <w:rPr>
          <w:rFonts w:cs="Arial"/>
          <w:b/>
        </w:rPr>
        <w:t>ключать адресатов в поле “скрытая копия” (</w:t>
      </w:r>
      <w:proofErr w:type="spellStart"/>
      <w:r w:rsidRPr="00CD2FD8">
        <w:rPr>
          <w:rFonts w:cs="Arial"/>
          <w:b/>
        </w:rPr>
        <w:t>bcc</w:t>
      </w:r>
      <w:proofErr w:type="spellEnd"/>
      <w:r w:rsidR="00E10016" w:rsidRPr="00CD2FD8">
        <w:rPr>
          <w:rFonts w:cs="Arial"/>
          <w:b/>
        </w:rPr>
        <w:t>).</w:t>
      </w:r>
    </w:p>
    <w:p w:rsidR="00E10016" w:rsidRPr="00850B7E" w:rsidRDefault="00E10016" w:rsidP="00E1001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Изменять чье-либо электронное сообщение без четкого указания того, какая часть сообщения была изменена.</w:t>
      </w:r>
    </w:p>
    <w:p w:rsidR="00774D7E" w:rsidRPr="00A10CB6" w:rsidRDefault="00774D7E" w:rsidP="003F52EF">
      <w:pPr>
        <w:pStyle w:val="1"/>
      </w:pPr>
      <w:r w:rsidRPr="00A10CB6">
        <w:t>Сотруднику запрещается:</w:t>
      </w:r>
    </w:p>
    <w:p w:rsidR="000C2D64" w:rsidRPr="00850B7E" w:rsidRDefault="000C2D64" w:rsidP="000C2D64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Направлять партнерам конфиденциальную информацию Компании по электронной почте без использования систем шифрования. Строго конфиденциальная информация Компании, ни при каких обстоятельствах, не подлежит пересылке третьим лицам по электронной почте.</w:t>
      </w:r>
    </w:p>
    <w:p w:rsidR="000C2D64" w:rsidRPr="00850B7E" w:rsidRDefault="000C2D64" w:rsidP="000C2D64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Использовать свой корпоративный электронный адрес для осуществления массовой рассылки электронной корреспонденции в том числе и по служебной надобности. Для этих целей должна существовать специальная процедура.</w:t>
      </w:r>
    </w:p>
    <w:p w:rsidR="000C2D64" w:rsidRPr="00850B7E" w:rsidRDefault="000C2D64" w:rsidP="000C2D64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Использовать учетную запись другого сотрудника для пересылки сообщений от чужого имени.</w:t>
      </w:r>
    </w:p>
    <w:p w:rsidR="00C051B6" w:rsidRPr="00850B7E" w:rsidRDefault="00774D7E" w:rsidP="00C051B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Использовать корпоративную электронную почту для </w:t>
      </w:r>
      <w:r w:rsidR="00C051B6" w:rsidRPr="00850B7E">
        <w:rPr>
          <w:rFonts w:cs="Arial"/>
        </w:rPr>
        <w:t xml:space="preserve">пересылки любых материалов, как сообщений, так и приложений, содержание которых является противозаконным, непристойным (экстремистского, расистского, порнографического и криминального характера), злонамеренным, оскорбительным, угрожающим, клеветническим, злобным или способствует поведению, которое может рассматриваться как уголовное преступление или административный проступок, либо приводит к возникновению гражданско-правовой ответственности, беспорядков или противоречит корпоративным стандартам в области этики. </w:t>
      </w:r>
    </w:p>
    <w:p w:rsidR="00774D7E" w:rsidRPr="00850B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Пересылать исполняемые файлы (</w:t>
      </w:r>
      <w:proofErr w:type="gramStart"/>
      <w:r w:rsidRPr="00850B7E">
        <w:rPr>
          <w:rFonts w:cs="Arial"/>
        </w:rPr>
        <w:t>с расширениям</w:t>
      </w:r>
      <w:proofErr w:type="gramEnd"/>
      <w:r w:rsidRPr="00850B7E">
        <w:rPr>
          <w:rFonts w:cs="Arial"/>
        </w:rPr>
        <w:t xml:space="preserve"> .</w:t>
      </w:r>
      <w:proofErr w:type="spellStart"/>
      <w:r w:rsidRPr="00850B7E">
        <w:rPr>
          <w:rFonts w:cs="Arial"/>
        </w:rPr>
        <w:t>exe</w:t>
      </w:r>
      <w:proofErr w:type="spellEnd"/>
      <w:r w:rsidRPr="00850B7E">
        <w:rPr>
          <w:rFonts w:cs="Arial"/>
        </w:rPr>
        <w:t>,</w:t>
      </w:r>
      <w:r w:rsidR="00C15B3C" w:rsidRPr="00850B7E">
        <w:rPr>
          <w:rFonts w:cs="Arial"/>
        </w:rPr>
        <w:t xml:space="preserve"> .</w:t>
      </w:r>
      <w:proofErr w:type="spellStart"/>
      <w:r w:rsidR="00C15B3C" w:rsidRPr="00850B7E">
        <w:rPr>
          <w:rFonts w:cs="Arial"/>
        </w:rPr>
        <w:t>com</w:t>
      </w:r>
      <w:proofErr w:type="spellEnd"/>
      <w:r w:rsidR="00C15B3C" w:rsidRPr="00850B7E">
        <w:rPr>
          <w:rFonts w:cs="Arial"/>
        </w:rPr>
        <w:t>,</w:t>
      </w:r>
      <w:r w:rsidRPr="00850B7E">
        <w:rPr>
          <w:rFonts w:cs="Arial"/>
        </w:rPr>
        <w:t xml:space="preserve"> .</w:t>
      </w:r>
      <w:proofErr w:type="spellStart"/>
      <w:r w:rsidRPr="00850B7E">
        <w:rPr>
          <w:rFonts w:cs="Arial"/>
        </w:rPr>
        <w:t>jar</w:t>
      </w:r>
      <w:proofErr w:type="spellEnd"/>
      <w:r w:rsidRPr="00850B7E">
        <w:rPr>
          <w:rFonts w:cs="Arial"/>
        </w:rPr>
        <w:t>, .</w:t>
      </w:r>
      <w:proofErr w:type="spellStart"/>
      <w:r w:rsidRPr="00850B7E">
        <w:rPr>
          <w:rFonts w:cs="Arial"/>
        </w:rPr>
        <w:t>msi</w:t>
      </w:r>
      <w:proofErr w:type="spellEnd"/>
      <w:r w:rsidRPr="00850B7E">
        <w:rPr>
          <w:rFonts w:cs="Arial"/>
        </w:rPr>
        <w:t>, .</w:t>
      </w:r>
      <w:proofErr w:type="spellStart"/>
      <w:r w:rsidRPr="00850B7E">
        <w:rPr>
          <w:rFonts w:cs="Arial"/>
        </w:rPr>
        <w:t>bat</w:t>
      </w:r>
      <w:proofErr w:type="spellEnd"/>
      <w:r w:rsidRPr="00850B7E">
        <w:rPr>
          <w:rFonts w:cs="Arial"/>
        </w:rPr>
        <w:t>).</w:t>
      </w:r>
    </w:p>
    <w:p w:rsidR="00774D7E" w:rsidRPr="00850B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Пересылать на внешние адреса электронной почты конфиденциальные данные без применения средств шифрования.</w:t>
      </w:r>
    </w:p>
    <w:p w:rsidR="00774D7E" w:rsidRPr="00850B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Пересылать сообщения, содержащие вложения, размер которых превышает </w:t>
      </w:r>
      <w:r w:rsidRPr="00BB10BD">
        <w:rPr>
          <w:rFonts w:cs="Arial"/>
        </w:rPr>
        <w:t>10 Мб.</w:t>
      </w:r>
    </w:p>
    <w:p w:rsidR="00D853F6" w:rsidRPr="00850B7E" w:rsidRDefault="00D853F6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Рассылать рекламные материалы, не связанных с деятельностью Компании,</w:t>
      </w:r>
    </w:p>
    <w:p w:rsidR="00774D7E" w:rsidRPr="00850B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Пересылать </w:t>
      </w:r>
      <w:r w:rsidR="00D853F6" w:rsidRPr="00850B7E">
        <w:rPr>
          <w:rFonts w:cs="Arial"/>
        </w:rPr>
        <w:t>вирусные письма (</w:t>
      </w:r>
      <w:r w:rsidRPr="00850B7E">
        <w:rPr>
          <w:rFonts w:cs="Arial"/>
        </w:rPr>
        <w:t>«письма-счастья»</w:t>
      </w:r>
      <w:r w:rsidR="00D853F6" w:rsidRPr="00850B7E">
        <w:rPr>
          <w:rFonts w:cs="Arial"/>
        </w:rPr>
        <w:t>)</w:t>
      </w:r>
      <w:r w:rsidRPr="00850B7E">
        <w:rPr>
          <w:rFonts w:cs="Arial"/>
        </w:rPr>
        <w:t>, содержащие просьбу о пересылке другим адресатам.</w:t>
      </w:r>
    </w:p>
    <w:p w:rsidR="00D853F6" w:rsidRPr="00850B7E" w:rsidRDefault="00D853F6" w:rsidP="00D853F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FD2F1F">
        <w:rPr>
          <w:rFonts w:cs="Arial"/>
        </w:rPr>
        <w:t>Производить несанкционированные групповые рассылки всем пользователям Компании сообщений</w:t>
      </w:r>
      <w:r w:rsidRPr="00850B7E">
        <w:rPr>
          <w:rFonts w:cs="Arial"/>
        </w:rPr>
        <w:t>/писем.</w:t>
      </w:r>
    </w:p>
    <w:p w:rsidR="00D853F6" w:rsidRPr="00850B7E" w:rsidRDefault="00C051B6" w:rsidP="00C051B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Подписываться </w:t>
      </w:r>
      <w:r w:rsidR="00D853F6" w:rsidRPr="00850B7E">
        <w:rPr>
          <w:rFonts w:cs="Arial"/>
        </w:rPr>
        <w:t>на рассылку, участие в дискуссиях и подобные услуги, использующие значительные ресурсы электронной почт</w:t>
      </w:r>
      <w:r w:rsidRPr="00850B7E">
        <w:rPr>
          <w:rFonts w:cs="Arial"/>
        </w:rPr>
        <w:t>ы в личных целях.</w:t>
      </w:r>
    </w:p>
    <w:p w:rsidR="00D853F6" w:rsidRPr="00850B7E" w:rsidRDefault="00C051B6" w:rsidP="00C051B6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lastRenderedPageBreak/>
        <w:t xml:space="preserve">Производить </w:t>
      </w:r>
      <w:r w:rsidR="00D853F6" w:rsidRPr="00850B7E">
        <w:rPr>
          <w:rFonts w:cs="Arial"/>
        </w:rPr>
        <w:t>поиск и чтение сообщений, направленных другим лицам (независимо от спо</w:t>
      </w:r>
      <w:r w:rsidRPr="00850B7E">
        <w:rPr>
          <w:rFonts w:cs="Arial"/>
        </w:rPr>
        <w:t>соба их хранения).</w:t>
      </w:r>
    </w:p>
    <w:p w:rsidR="00774D7E" w:rsidRPr="00A10CB6" w:rsidRDefault="00774D7E" w:rsidP="003F52EF">
      <w:pPr>
        <w:pStyle w:val="1"/>
      </w:pPr>
      <w:r w:rsidRPr="00A10CB6">
        <w:t>Компания оставляет за собой право:</w:t>
      </w:r>
    </w:p>
    <w:p w:rsidR="00774D7E" w:rsidRPr="00850B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Осуществлять мониторинг электронной почты, в том числе и содержимого электронных сообщений.</w:t>
      </w:r>
    </w:p>
    <w:p w:rsidR="00774D7E" w:rsidRPr="00850B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 xml:space="preserve">Предоставлять информацию о содержании электронных сообщений </w:t>
      </w:r>
      <w:proofErr w:type="gramStart"/>
      <w:r w:rsidRPr="00850B7E">
        <w:rPr>
          <w:rFonts w:cs="Arial"/>
        </w:rPr>
        <w:t>сотрудников  Компании</w:t>
      </w:r>
      <w:proofErr w:type="gramEnd"/>
      <w:r w:rsidRPr="00850B7E">
        <w:rPr>
          <w:rFonts w:cs="Arial"/>
        </w:rPr>
        <w:t xml:space="preserve"> правоохранительным органам в случаях, предусмотренных законодательством Российской Федерации.</w:t>
      </w:r>
    </w:p>
    <w:p w:rsidR="00774D7E" w:rsidRDefault="00774D7E" w:rsidP="00A36B75">
      <w:pPr>
        <w:numPr>
          <w:ilvl w:val="0"/>
          <w:numId w:val="23"/>
        </w:numPr>
        <w:tabs>
          <w:tab w:val="clear" w:pos="1065"/>
        </w:tabs>
        <w:ind w:left="720" w:hanging="360"/>
        <w:rPr>
          <w:rFonts w:cs="Arial"/>
        </w:rPr>
      </w:pPr>
      <w:r w:rsidRPr="00850B7E">
        <w:rPr>
          <w:rFonts w:cs="Arial"/>
        </w:rPr>
        <w:t>Принимать меры дисциплинарного характера к сотрудникам, нарушающим настоящую политику.</w:t>
      </w:r>
    </w:p>
    <w:p w:rsidR="00CD2FD8" w:rsidRPr="003F52EF" w:rsidRDefault="00CD2FD8" w:rsidP="003F52EF">
      <w:pPr>
        <w:pStyle w:val="1"/>
      </w:pPr>
      <w:bookmarkStart w:id="1" w:name="_Toc257190936"/>
      <w:r w:rsidRPr="003F52EF">
        <w:t>История изменений документа</w:t>
      </w:r>
      <w:bookmarkEnd w:id="1"/>
      <w:r w:rsidRPr="003F52EF"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920"/>
        <w:gridCol w:w="2094"/>
        <w:gridCol w:w="4915"/>
      </w:tblGrid>
      <w:tr w:rsidR="00CD2FD8" w:rsidRPr="00666CF9" w:rsidTr="003F52EF">
        <w:trPr>
          <w:cantSplit/>
          <w:trHeight w:val="368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Дата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Редакция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Автор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Описание</w:t>
            </w:r>
          </w:p>
        </w:tc>
      </w:tr>
      <w:tr w:rsidR="00CD2FD8" w:rsidRPr="00CF654F" w:rsidTr="003F52EF">
        <w:tc>
          <w:tcPr>
            <w:tcW w:w="1526" w:type="dxa"/>
          </w:tcPr>
          <w:p w:rsidR="00CD2FD8" w:rsidRPr="00CF654F" w:rsidRDefault="00CD2FD8" w:rsidP="00666CF9">
            <w:pPr>
              <w:jc w:val="left"/>
              <w:rPr>
                <w:sz w:val="20"/>
              </w:rPr>
            </w:pPr>
            <w:r w:rsidRPr="00CF654F">
              <w:rPr>
                <w:sz w:val="20"/>
              </w:rPr>
              <w:t>30.0</w:t>
            </w:r>
            <w:r w:rsidR="003F52EF" w:rsidRPr="00CF654F">
              <w:rPr>
                <w:sz w:val="20"/>
              </w:rPr>
              <w:t>5</w:t>
            </w:r>
            <w:r w:rsidRPr="00CF654F">
              <w:rPr>
                <w:sz w:val="20"/>
              </w:rPr>
              <w:t>.</w:t>
            </w:r>
            <w:r w:rsidR="000955C7">
              <w:rPr>
                <w:sz w:val="20"/>
              </w:rPr>
              <w:t>201__</w:t>
            </w:r>
          </w:p>
        </w:tc>
        <w:tc>
          <w:tcPr>
            <w:tcW w:w="938" w:type="dxa"/>
          </w:tcPr>
          <w:p w:rsidR="00CD2FD8" w:rsidRPr="00CF654F" w:rsidRDefault="00CD2FD8" w:rsidP="00146B25">
            <w:pPr>
              <w:spacing w:before="20"/>
              <w:jc w:val="center"/>
              <w:rPr>
                <w:sz w:val="20"/>
              </w:rPr>
            </w:pPr>
            <w:r w:rsidRPr="00CF654F">
              <w:rPr>
                <w:sz w:val="20"/>
              </w:rPr>
              <w:t>1</w:t>
            </w:r>
          </w:p>
        </w:tc>
        <w:tc>
          <w:tcPr>
            <w:tcW w:w="2144" w:type="dxa"/>
          </w:tcPr>
          <w:p w:rsidR="00CD2FD8" w:rsidRPr="00CF654F" w:rsidRDefault="00CD2FD8" w:rsidP="00666CF9">
            <w:pPr>
              <w:jc w:val="left"/>
              <w:rPr>
                <w:sz w:val="20"/>
              </w:rPr>
            </w:pPr>
            <w:r w:rsidRPr="00CF654F">
              <w:rPr>
                <w:sz w:val="20"/>
              </w:rPr>
              <w:t>Звягин И.М.</w:t>
            </w:r>
          </w:p>
        </w:tc>
        <w:tc>
          <w:tcPr>
            <w:tcW w:w="5040" w:type="dxa"/>
          </w:tcPr>
          <w:p w:rsidR="00CD2FD8" w:rsidRPr="00CF654F" w:rsidRDefault="00CD2FD8" w:rsidP="00666CF9">
            <w:pPr>
              <w:jc w:val="left"/>
              <w:rPr>
                <w:sz w:val="20"/>
              </w:rPr>
            </w:pPr>
            <w:r w:rsidRPr="00CF654F">
              <w:rPr>
                <w:sz w:val="20"/>
              </w:rPr>
              <w:t>Проект процедуры</w:t>
            </w:r>
          </w:p>
        </w:tc>
      </w:tr>
    </w:tbl>
    <w:p w:rsidR="00CD2FD8" w:rsidRPr="003F52EF" w:rsidRDefault="00CD2FD8" w:rsidP="003F52EF">
      <w:pPr>
        <w:pStyle w:val="1"/>
      </w:pPr>
      <w:r w:rsidRPr="003F52EF">
        <w:t>Ознакомление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21"/>
        <w:gridCol w:w="3289"/>
        <w:gridCol w:w="1017"/>
        <w:gridCol w:w="1733"/>
      </w:tblGrid>
      <w:tr w:rsidR="00CD2FD8" w:rsidRPr="00666CF9" w:rsidTr="00146B25">
        <w:trPr>
          <w:cantSplit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Должность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Фамилия И.О.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Дата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2FD8" w:rsidRPr="00666CF9" w:rsidRDefault="00CD2FD8" w:rsidP="00666CF9">
            <w:pPr>
              <w:jc w:val="center"/>
              <w:rPr>
                <w:b/>
              </w:rPr>
            </w:pPr>
            <w:r w:rsidRPr="00666CF9">
              <w:rPr>
                <w:b/>
              </w:rPr>
              <w:t>Подпись</w:t>
            </w:r>
          </w:p>
        </w:tc>
      </w:tr>
      <w:tr w:rsidR="00CD2FD8" w:rsidTr="00146B25">
        <w:tc>
          <w:tcPr>
            <w:tcW w:w="490" w:type="dxa"/>
          </w:tcPr>
          <w:p w:rsidR="00CD2FD8" w:rsidRPr="00666CF9" w:rsidRDefault="00CD2FD8" w:rsidP="00666CF9">
            <w:pPr>
              <w:jc w:val="left"/>
            </w:pPr>
            <w:r w:rsidRPr="00666CF9">
              <w:t>1</w:t>
            </w:r>
          </w:p>
        </w:tc>
        <w:tc>
          <w:tcPr>
            <w:tcW w:w="2893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3374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1039" w:type="dxa"/>
          </w:tcPr>
          <w:p w:rsidR="00CD2FD8" w:rsidRDefault="00CD2FD8" w:rsidP="00146B25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D2FD8" w:rsidRDefault="00CD2FD8" w:rsidP="00146B25">
            <w:pPr>
              <w:spacing w:before="20"/>
            </w:pPr>
          </w:p>
        </w:tc>
      </w:tr>
      <w:tr w:rsidR="00CD2FD8" w:rsidTr="00146B25">
        <w:tc>
          <w:tcPr>
            <w:tcW w:w="490" w:type="dxa"/>
          </w:tcPr>
          <w:p w:rsidR="00CD2FD8" w:rsidRPr="00666CF9" w:rsidRDefault="00CD2FD8" w:rsidP="00666CF9">
            <w:pPr>
              <w:jc w:val="left"/>
            </w:pPr>
            <w:r w:rsidRPr="00666CF9">
              <w:t>2</w:t>
            </w:r>
          </w:p>
        </w:tc>
        <w:tc>
          <w:tcPr>
            <w:tcW w:w="2893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3374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1039" w:type="dxa"/>
          </w:tcPr>
          <w:p w:rsidR="00CD2FD8" w:rsidRDefault="00CD2FD8" w:rsidP="00146B25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D2FD8" w:rsidRDefault="00CD2FD8" w:rsidP="00146B25">
            <w:pPr>
              <w:spacing w:before="20"/>
            </w:pPr>
          </w:p>
        </w:tc>
      </w:tr>
      <w:tr w:rsidR="00CD2FD8" w:rsidTr="00146B25">
        <w:tc>
          <w:tcPr>
            <w:tcW w:w="490" w:type="dxa"/>
          </w:tcPr>
          <w:p w:rsidR="00CD2FD8" w:rsidRPr="00666CF9" w:rsidRDefault="00CD2FD8" w:rsidP="00666CF9">
            <w:pPr>
              <w:jc w:val="left"/>
            </w:pPr>
            <w:r w:rsidRPr="00666CF9">
              <w:t>3</w:t>
            </w:r>
          </w:p>
        </w:tc>
        <w:tc>
          <w:tcPr>
            <w:tcW w:w="2893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3374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1039" w:type="dxa"/>
          </w:tcPr>
          <w:p w:rsidR="00CD2FD8" w:rsidRDefault="00CD2FD8" w:rsidP="00146B25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D2FD8" w:rsidRDefault="00CD2FD8" w:rsidP="00146B25">
            <w:pPr>
              <w:spacing w:before="20"/>
            </w:pPr>
          </w:p>
        </w:tc>
      </w:tr>
      <w:tr w:rsidR="00CD2FD8" w:rsidTr="00146B25">
        <w:tc>
          <w:tcPr>
            <w:tcW w:w="490" w:type="dxa"/>
          </w:tcPr>
          <w:p w:rsidR="00CD2FD8" w:rsidRPr="00666CF9" w:rsidRDefault="00CD2FD8" w:rsidP="00666CF9">
            <w:pPr>
              <w:jc w:val="left"/>
            </w:pPr>
            <w:r w:rsidRPr="00666CF9">
              <w:t>4</w:t>
            </w:r>
          </w:p>
        </w:tc>
        <w:tc>
          <w:tcPr>
            <w:tcW w:w="2893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3374" w:type="dxa"/>
          </w:tcPr>
          <w:p w:rsidR="00CD2FD8" w:rsidRDefault="00CD2FD8" w:rsidP="00146B25">
            <w:pPr>
              <w:spacing w:before="20"/>
            </w:pPr>
          </w:p>
        </w:tc>
        <w:tc>
          <w:tcPr>
            <w:tcW w:w="1039" w:type="dxa"/>
          </w:tcPr>
          <w:p w:rsidR="00CD2FD8" w:rsidRDefault="00CD2FD8" w:rsidP="00146B25">
            <w:pPr>
              <w:spacing w:before="20"/>
              <w:jc w:val="center"/>
            </w:pPr>
          </w:p>
        </w:tc>
        <w:tc>
          <w:tcPr>
            <w:tcW w:w="1774" w:type="dxa"/>
          </w:tcPr>
          <w:p w:rsidR="00CD2FD8" w:rsidRDefault="00CD2FD8" w:rsidP="00146B25">
            <w:pPr>
              <w:spacing w:before="20"/>
            </w:pPr>
          </w:p>
        </w:tc>
      </w:tr>
    </w:tbl>
    <w:p w:rsidR="00D44BFA" w:rsidRPr="00CD2FD8" w:rsidRDefault="00D44BFA" w:rsidP="00CD2FD8">
      <w:pPr>
        <w:rPr>
          <w:rFonts w:cs="Arial"/>
        </w:rPr>
      </w:pPr>
    </w:p>
    <w:sectPr w:rsidR="00D44BFA" w:rsidRPr="00CD2FD8" w:rsidSect="00850B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56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B4" w:rsidRDefault="001D5AB4">
      <w:r>
        <w:separator/>
      </w:r>
    </w:p>
  </w:endnote>
  <w:endnote w:type="continuationSeparator" w:id="0">
    <w:p w:rsidR="001D5AB4" w:rsidRDefault="001D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1E" w:rsidRPr="00CD2FD8" w:rsidRDefault="00CD2FD8" w:rsidP="003F52EF">
    <w:pPr>
      <w:pBdr>
        <w:top w:val="thinThickSmallGap" w:sz="12" w:space="1" w:color="auto"/>
      </w:pBdr>
      <w:tabs>
        <w:tab w:val="right" w:pos="9214"/>
      </w:tabs>
      <w:rPr>
        <w:lang w:val="en-US"/>
      </w:rPr>
    </w:pPr>
    <w:r w:rsidRPr="00FE4AD1">
      <w:t>Система менеджмента информационной безопасности</w:t>
    </w:r>
    <w:r>
      <w:rPr>
        <w:lang w:val="en-US"/>
      </w:rPr>
      <w:tab/>
    </w:r>
    <w:r>
      <w:fldChar w:fldCharType="begin"/>
    </w:r>
    <w:r>
      <w:instrText>PAGE   \* MERGEFORMAT</w:instrText>
    </w:r>
    <w:r>
      <w:fldChar w:fldCharType="separate"/>
    </w:r>
    <w:r w:rsidR="00C7608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67" w:rsidRPr="003F52EF" w:rsidRDefault="00CD2FD8" w:rsidP="003F52EF">
    <w:pPr>
      <w:jc w:val="center"/>
    </w:pPr>
    <w:r w:rsidRPr="003F52EF">
      <w:t xml:space="preserve">GOROD - </w:t>
    </w:r>
    <w:r w:rsidR="000955C7">
      <w:t>201__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B4" w:rsidRDefault="001D5AB4">
      <w:r>
        <w:separator/>
      </w:r>
    </w:p>
  </w:footnote>
  <w:footnote w:type="continuationSeparator" w:id="0">
    <w:p w:rsidR="001D5AB4" w:rsidRDefault="001D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000" w:firstRow="0" w:lastRow="0" w:firstColumn="0" w:lastColumn="0" w:noHBand="0" w:noVBand="0"/>
    </w:tblPr>
    <w:tblGrid>
      <w:gridCol w:w="5070"/>
      <w:gridCol w:w="4398"/>
    </w:tblGrid>
    <w:tr w:rsidR="00CD2FD8" w:rsidRPr="00A10CB6" w:rsidTr="00146B25">
      <w:trPr>
        <w:cantSplit/>
        <w:trHeight w:val="599"/>
      </w:trPr>
      <w:tc>
        <w:tcPr>
          <w:tcW w:w="5070" w:type="dxa"/>
          <w:tcBorders>
            <w:left w:val="nil"/>
            <w:bottom w:val="double" w:sz="6" w:space="0" w:color="auto"/>
            <w:right w:val="nil"/>
          </w:tcBorders>
        </w:tcPr>
        <w:p w:rsidR="00CD2FD8" w:rsidRPr="007F0071" w:rsidRDefault="00CD2FD8" w:rsidP="00146B25">
          <w:pPr>
            <w:spacing w:after="240"/>
          </w:pPr>
          <w:r>
            <w:rPr>
              <w:lang w:val="en-US"/>
            </w:rPr>
            <w:t>FIRMA</w:t>
          </w:r>
          <w:r w:rsidRPr="007F0071">
            <w:fldChar w:fldCharType="begin"/>
          </w:r>
          <w:r w:rsidRPr="007F0071">
            <w:instrText xml:space="preserve"> DOCPROPERTY "Company"  \* MERGEFORMAT </w:instrText>
          </w:r>
          <w:r w:rsidRPr="007F0071">
            <w:fldChar w:fldCharType="end"/>
          </w:r>
        </w:p>
      </w:tc>
      <w:tc>
        <w:tcPr>
          <w:tcW w:w="4398" w:type="dxa"/>
          <w:tcBorders>
            <w:top w:val="nil"/>
            <w:left w:val="nil"/>
            <w:bottom w:val="double" w:sz="6" w:space="0" w:color="auto"/>
            <w:right w:val="nil"/>
          </w:tcBorders>
        </w:tcPr>
        <w:p w:rsidR="00CD2FD8" w:rsidRPr="00A10CB6" w:rsidRDefault="00CD2FD8" w:rsidP="00CD2FD8">
          <w:pPr>
            <w:jc w:val="right"/>
            <w:rPr>
              <w:rFonts w:cs="Arial"/>
            </w:rPr>
          </w:pPr>
          <w:r w:rsidRPr="00A10CB6">
            <w:rPr>
              <w:rFonts w:cs="Arial"/>
              <w:sz w:val="16"/>
            </w:rPr>
            <w:t xml:space="preserve">Политика использования электронной почты </w:t>
          </w:r>
        </w:p>
      </w:tc>
    </w:tr>
  </w:tbl>
  <w:p w:rsidR="00CD2FD8" w:rsidRPr="00CD2FD8" w:rsidRDefault="00CD2FD8" w:rsidP="00A10CB6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B6" w:rsidRDefault="00C76080" w:rsidP="00CD2FD8">
    <w:pPr>
      <w:jc w:val="center"/>
      <w:rPr>
        <w:lang w:val="en-US"/>
      </w:rPr>
    </w:pPr>
    <w:r>
      <w:rPr>
        <w:noProof/>
      </w:rPr>
      <w:drawing>
        <wp:inline distT="0" distB="0" distL="0" distR="0" wp14:anchorId="68F90C5B" wp14:editId="355BE45D">
          <wp:extent cx="1269242" cy="1265404"/>
          <wp:effectExtent l="0" t="0" r="762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tCEmar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1" cy="127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FD8" w:rsidRDefault="00CD2FD8" w:rsidP="00CD2FD8">
    <w:pPr>
      <w:jc w:val="center"/>
      <w:rPr>
        <w:rFonts w:ascii="Century Gothic" w:hAnsi="Century Gothic"/>
        <w:b/>
        <w:color w:val="808080"/>
        <w:sz w:val="36"/>
        <w:szCs w:val="36"/>
      </w:rPr>
    </w:pPr>
    <w:r>
      <w:rPr>
        <w:rFonts w:ascii="Century Gothic" w:hAnsi="Century Gothic"/>
        <w:b/>
        <w:color w:val="808080"/>
        <w:sz w:val="36"/>
        <w:szCs w:val="36"/>
      </w:rPr>
      <w:t>Система менеджмента</w:t>
    </w:r>
    <w:r>
      <w:rPr>
        <w:rFonts w:ascii="Century Gothic" w:hAnsi="Century Gothic"/>
        <w:b/>
        <w:color w:val="808080"/>
        <w:sz w:val="36"/>
        <w:szCs w:val="36"/>
      </w:rPr>
      <w:br/>
      <w:t>информационной безопасности</w:t>
    </w:r>
  </w:p>
  <w:p w:rsidR="00A10CB6" w:rsidRPr="00CD2FD8" w:rsidRDefault="00CD2FD8" w:rsidP="00CD2FD8">
    <w:pPr>
      <w:jc w:val="center"/>
      <w:rPr>
        <w:rFonts w:ascii="Century Gothic" w:hAnsi="Century Gothic"/>
        <w:b/>
        <w:color w:val="808080"/>
      </w:rPr>
    </w:pPr>
    <w:r>
      <w:t>КОНФИДЕНЦИАЛЬНО (кстати, аналогичную надпись советую по мере пересмотра документации СМК добавить ко всем процедурам)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06A1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3865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556D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A186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3A9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054021E1"/>
    <w:multiLevelType w:val="hybridMultilevel"/>
    <w:tmpl w:val="63E2296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5A70D9C"/>
    <w:multiLevelType w:val="hybridMultilevel"/>
    <w:tmpl w:val="7E5E4360"/>
    <w:lvl w:ilvl="0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09D90900"/>
    <w:multiLevelType w:val="hybridMultilevel"/>
    <w:tmpl w:val="F4921346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0D8C77DA"/>
    <w:multiLevelType w:val="hybridMultilevel"/>
    <w:tmpl w:val="DE22823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EC42772"/>
    <w:multiLevelType w:val="hybridMultilevel"/>
    <w:tmpl w:val="3330355C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9796A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8208A5"/>
    <w:multiLevelType w:val="multilevel"/>
    <w:tmpl w:val="CCBAB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670397"/>
    <w:multiLevelType w:val="hybridMultilevel"/>
    <w:tmpl w:val="A762C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00220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F57FAE"/>
    <w:multiLevelType w:val="hybridMultilevel"/>
    <w:tmpl w:val="1A42A8D4"/>
    <w:lvl w:ilvl="0" w:tplc="E670022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32D25A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D561B0"/>
    <w:multiLevelType w:val="multilevel"/>
    <w:tmpl w:val="1FF8E462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6C1317"/>
    <w:multiLevelType w:val="multilevel"/>
    <w:tmpl w:val="70DA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FD0BFC"/>
    <w:multiLevelType w:val="multilevel"/>
    <w:tmpl w:val="7E5E4360"/>
    <w:lvl w:ilvl="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AF101A0"/>
    <w:multiLevelType w:val="hybridMultilevel"/>
    <w:tmpl w:val="FB28FB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FE2E4E"/>
    <w:multiLevelType w:val="hybridMultilevel"/>
    <w:tmpl w:val="1FF8E462"/>
    <w:lvl w:ilvl="0" w:tplc="73283C6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EF3855"/>
    <w:multiLevelType w:val="hybridMultilevel"/>
    <w:tmpl w:val="F416BA28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5BE3E98"/>
    <w:multiLevelType w:val="hybridMultilevel"/>
    <w:tmpl w:val="18D634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06900AF"/>
    <w:multiLevelType w:val="hybridMultilevel"/>
    <w:tmpl w:val="E056D98E"/>
    <w:lvl w:ilvl="0" w:tplc="E670022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PS" w:hAnsi="CourierP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PS" w:hAnsi="CourierP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PS" w:hAnsi="CourierP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CED3D81"/>
    <w:multiLevelType w:val="multilevel"/>
    <w:tmpl w:val="DE22823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4F638A"/>
    <w:multiLevelType w:val="hybridMultilevel"/>
    <w:tmpl w:val="688E9EA6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86236BC"/>
    <w:multiLevelType w:val="hybridMultilevel"/>
    <w:tmpl w:val="181C282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0C4AAE"/>
    <w:multiLevelType w:val="hybridMultilevel"/>
    <w:tmpl w:val="7B3071D2"/>
    <w:lvl w:ilvl="0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31426E3"/>
    <w:multiLevelType w:val="hybridMultilevel"/>
    <w:tmpl w:val="25F46D8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B75D75"/>
    <w:multiLevelType w:val="multilevel"/>
    <w:tmpl w:val="01187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15"/>
  </w:num>
  <w:num w:numId="5">
    <w:abstractNumId w:val="17"/>
  </w:num>
  <w:num w:numId="6">
    <w:abstractNumId w:val="20"/>
  </w:num>
  <w:num w:numId="7">
    <w:abstractNumId w:val="16"/>
  </w:num>
  <w:num w:numId="8">
    <w:abstractNumId w:val="28"/>
  </w:num>
  <w:num w:numId="9">
    <w:abstractNumId w:val="5"/>
  </w:num>
  <w:num w:numId="10">
    <w:abstractNumId w:val="26"/>
  </w:num>
  <w:num w:numId="11">
    <w:abstractNumId w:val="19"/>
  </w:num>
  <w:num w:numId="12">
    <w:abstractNumId w:val="9"/>
  </w:num>
  <w:num w:numId="13">
    <w:abstractNumId w:val="24"/>
  </w:num>
  <w:num w:numId="14">
    <w:abstractNumId w:val="22"/>
  </w:num>
  <w:num w:numId="15">
    <w:abstractNumId w:val="7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8"/>
  </w:num>
  <w:num w:numId="21">
    <w:abstractNumId w:val="25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1"/>
    <w:rsid w:val="0000071B"/>
    <w:rsid w:val="00001F2B"/>
    <w:rsid w:val="0002358E"/>
    <w:rsid w:val="00024D54"/>
    <w:rsid w:val="0003362F"/>
    <w:rsid w:val="000575F6"/>
    <w:rsid w:val="000955C7"/>
    <w:rsid w:val="000A2A3A"/>
    <w:rsid w:val="000C1214"/>
    <w:rsid w:val="000C2D64"/>
    <w:rsid w:val="000C3F2A"/>
    <w:rsid w:val="000D6608"/>
    <w:rsid w:val="000D7FD6"/>
    <w:rsid w:val="00124A0E"/>
    <w:rsid w:val="00126E97"/>
    <w:rsid w:val="00146B25"/>
    <w:rsid w:val="00164AF2"/>
    <w:rsid w:val="00173743"/>
    <w:rsid w:val="001D2ECD"/>
    <w:rsid w:val="001D5AB4"/>
    <w:rsid w:val="00205A9D"/>
    <w:rsid w:val="0021341C"/>
    <w:rsid w:val="002406D0"/>
    <w:rsid w:val="00294E37"/>
    <w:rsid w:val="00295798"/>
    <w:rsid w:val="002C7D07"/>
    <w:rsid w:val="002D4E57"/>
    <w:rsid w:val="00347B33"/>
    <w:rsid w:val="00360AB1"/>
    <w:rsid w:val="00372514"/>
    <w:rsid w:val="00375911"/>
    <w:rsid w:val="00386A44"/>
    <w:rsid w:val="00387CFD"/>
    <w:rsid w:val="003A7DDE"/>
    <w:rsid w:val="003C127F"/>
    <w:rsid w:val="003D0C06"/>
    <w:rsid w:val="003D781E"/>
    <w:rsid w:val="003F52EF"/>
    <w:rsid w:val="00462C3B"/>
    <w:rsid w:val="00494162"/>
    <w:rsid w:val="0049724A"/>
    <w:rsid w:val="004A0C87"/>
    <w:rsid w:val="004A43D5"/>
    <w:rsid w:val="004B252D"/>
    <w:rsid w:val="004C28CD"/>
    <w:rsid w:val="004D1736"/>
    <w:rsid w:val="004D1A05"/>
    <w:rsid w:val="004F22D7"/>
    <w:rsid w:val="004F3FB8"/>
    <w:rsid w:val="005302FC"/>
    <w:rsid w:val="005331E0"/>
    <w:rsid w:val="0054514E"/>
    <w:rsid w:val="005A1A2B"/>
    <w:rsid w:val="005B3B35"/>
    <w:rsid w:val="005D00CC"/>
    <w:rsid w:val="006065AA"/>
    <w:rsid w:val="00653C7A"/>
    <w:rsid w:val="00663149"/>
    <w:rsid w:val="00666CF9"/>
    <w:rsid w:val="00697989"/>
    <w:rsid w:val="00697ADA"/>
    <w:rsid w:val="006C4538"/>
    <w:rsid w:val="0070349B"/>
    <w:rsid w:val="00711C53"/>
    <w:rsid w:val="0072073F"/>
    <w:rsid w:val="00723301"/>
    <w:rsid w:val="007269D9"/>
    <w:rsid w:val="00765C25"/>
    <w:rsid w:val="00774D7E"/>
    <w:rsid w:val="007768B4"/>
    <w:rsid w:val="00793B98"/>
    <w:rsid w:val="007C3E99"/>
    <w:rsid w:val="007D55A5"/>
    <w:rsid w:val="00812C1B"/>
    <w:rsid w:val="0081646C"/>
    <w:rsid w:val="00816CBD"/>
    <w:rsid w:val="00827353"/>
    <w:rsid w:val="00850B7E"/>
    <w:rsid w:val="008C3688"/>
    <w:rsid w:val="00912843"/>
    <w:rsid w:val="009244DB"/>
    <w:rsid w:val="00924686"/>
    <w:rsid w:val="0092522D"/>
    <w:rsid w:val="0093417F"/>
    <w:rsid w:val="009368DC"/>
    <w:rsid w:val="009445A9"/>
    <w:rsid w:val="00952B67"/>
    <w:rsid w:val="009662A5"/>
    <w:rsid w:val="00976E1C"/>
    <w:rsid w:val="00980C29"/>
    <w:rsid w:val="009827B7"/>
    <w:rsid w:val="0098684C"/>
    <w:rsid w:val="00992E96"/>
    <w:rsid w:val="009A5651"/>
    <w:rsid w:val="009B19E7"/>
    <w:rsid w:val="009B1DAB"/>
    <w:rsid w:val="009D0B38"/>
    <w:rsid w:val="009F2256"/>
    <w:rsid w:val="00A10CB6"/>
    <w:rsid w:val="00A13E70"/>
    <w:rsid w:val="00A314DE"/>
    <w:rsid w:val="00A36B75"/>
    <w:rsid w:val="00A41F2C"/>
    <w:rsid w:val="00AC12E3"/>
    <w:rsid w:val="00AC355F"/>
    <w:rsid w:val="00AE1C09"/>
    <w:rsid w:val="00B2007E"/>
    <w:rsid w:val="00B30AA0"/>
    <w:rsid w:val="00B4673A"/>
    <w:rsid w:val="00B47595"/>
    <w:rsid w:val="00B97F76"/>
    <w:rsid w:val="00BA2DDF"/>
    <w:rsid w:val="00BB10BD"/>
    <w:rsid w:val="00BD43D3"/>
    <w:rsid w:val="00BE0E6A"/>
    <w:rsid w:val="00C00697"/>
    <w:rsid w:val="00C051B6"/>
    <w:rsid w:val="00C15B3C"/>
    <w:rsid w:val="00C36215"/>
    <w:rsid w:val="00C42284"/>
    <w:rsid w:val="00C44E0C"/>
    <w:rsid w:val="00C46945"/>
    <w:rsid w:val="00C61573"/>
    <w:rsid w:val="00C76080"/>
    <w:rsid w:val="00C80100"/>
    <w:rsid w:val="00C92DBD"/>
    <w:rsid w:val="00C95B44"/>
    <w:rsid w:val="00CA1462"/>
    <w:rsid w:val="00CB14CC"/>
    <w:rsid w:val="00CB20EC"/>
    <w:rsid w:val="00CD2FD8"/>
    <w:rsid w:val="00CD6BA7"/>
    <w:rsid w:val="00CF654F"/>
    <w:rsid w:val="00D163BE"/>
    <w:rsid w:val="00D2077D"/>
    <w:rsid w:val="00D33F03"/>
    <w:rsid w:val="00D44BFA"/>
    <w:rsid w:val="00D853F6"/>
    <w:rsid w:val="00D904D4"/>
    <w:rsid w:val="00DA6031"/>
    <w:rsid w:val="00DD297F"/>
    <w:rsid w:val="00DE4C0E"/>
    <w:rsid w:val="00DF6795"/>
    <w:rsid w:val="00E10016"/>
    <w:rsid w:val="00E118FE"/>
    <w:rsid w:val="00E269F6"/>
    <w:rsid w:val="00E31F37"/>
    <w:rsid w:val="00E928F4"/>
    <w:rsid w:val="00EA68FF"/>
    <w:rsid w:val="00EB06A8"/>
    <w:rsid w:val="00EB10AF"/>
    <w:rsid w:val="00EC2854"/>
    <w:rsid w:val="00EF0F08"/>
    <w:rsid w:val="00F63186"/>
    <w:rsid w:val="00FD2F1F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EB7CA"/>
  <w15:chartTrackingRefBased/>
  <w15:docId w15:val="{E0384791-1150-4640-8051-C4B966B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F9"/>
    <w:pPr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F52EF"/>
    <w:pPr>
      <w:keepNext/>
      <w:spacing w:before="240" w:after="120"/>
      <w:outlineLvl w:val="0"/>
    </w:pPr>
    <w:rPr>
      <w:rFonts w:cs="Arial"/>
      <w:b/>
      <w:bCs/>
      <w:color w:val="2E74B5" w:themeColor="accent1" w:themeShade="BF"/>
      <w:kern w:val="32"/>
      <w:sz w:val="28"/>
      <w:szCs w:val="28"/>
    </w:rPr>
  </w:style>
  <w:style w:type="paragraph" w:styleId="2">
    <w:name w:val="heading 2"/>
    <w:basedOn w:val="a"/>
    <w:next w:val="a"/>
    <w:autoRedefine/>
    <w:qFormat/>
    <w:rsid w:val="00AC12E3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9128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-zim">
    <w:name w:val="Ф29-zim"/>
    <w:basedOn w:val="a4"/>
    <w:autoRedefine/>
    <w:rsid w:val="00666CF9"/>
  </w:style>
  <w:style w:type="character" w:customStyle="1" w:styleId="End">
    <w:name w:val="End Знак"/>
    <w:link w:val="End0"/>
    <w:rsid w:val="003A7DDE"/>
    <w:rPr>
      <w:rFonts w:ascii="Tahoma" w:hAnsi="Tahoma" w:cs="Tahoma"/>
      <w:sz w:val="2"/>
      <w:szCs w:val="2"/>
      <w:lang w:val="ru-RU" w:eastAsia="ru-RU" w:bidi="ar-SA"/>
    </w:rPr>
  </w:style>
  <w:style w:type="paragraph" w:styleId="a4">
    <w:name w:val="Title"/>
    <w:basedOn w:val="a"/>
    <w:next w:val="a"/>
    <w:link w:val="a5"/>
    <w:autoRedefine/>
    <w:qFormat/>
    <w:rsid w:val="00666CF9"/>
    <w:pPr>
      <w:contextualSpacing/>
      <w:jc w:val="center"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a6">
    <w:name w:val="Balloon Text"/>
    <w:basedOn w:val="a"/>
    <w:semiHidden/>
    <w:rsid w:val="00B97F7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D163BE"/>
  </w:style>
  <w:style w:type="paragraph" w:customStyle="1" w:styleId="End0">
    <w:name w:val="End"/>
    <w:basedOn w:val="a"/>
    <w:link w:val="End"/>
    <w:rsid w:val="00793B98"/>
    <w:rPr>
      <w:rFonts w:cs="Tahoma"/>
      <w:sz w:val="2"/>
      <w:szCs w:val="2"/>
    </w:rPr>
  </w:style>
  <w:style w:type="character" w:customStyle="1" w:styleId="10">
    <w:name w:val="Заголовок 1 Знак"/>
    <w:link w:val="1"/>
    <w:rsid w:val="003F52EF"/>
    <w:rPr>
      <w:rFonts w:ascii="Arial" w:hAnsi="Arial" w:cs="Arial"/>
      <w:b/>
      <w:bCs/>
      <w:color w:val="2E74B5" w:themeColor="accent1" w:themeShade="BF"/>
      <w:kern w:val="32"/>
      <w:sz w:val="28"/>
      <w:szCs w:val="28"/>
    </w:rPr>
  </w:style>
  <w:style w:type="paragraph" w:styleId="20">
    <w:name w:val="toc 2"/>
    <w:basedOn w:val="a"/>
    <w:next w:val="a"/>
    <w:autoRedefine/>
    <w:semiHidden/>
    <w:rsid w:val="004A0C87"/>
    <w:pPr>
      <w:ind w:left="240"/>
    </w:pPr>
  </w:style>
  <w:style w:type="character" w:customStyle="1" w:styleId="a5">
    <w:name w:val="Заголовок Знак"/>
    <w:basedOn w:val="a0"/>
    <w:link w:val="a4"/>
    <w:rsid w:val="00666CF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a7">
    <w:name w:val="header"/>
    <w:basedOn w:val="a"/>
    <w:link w:val="a8"/>
    <w:rsid w:val="00C76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6080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rsid w:val="00C76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0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использования электронной почты</vt:lpstr>
    </vt:vector>
  </TitlesOfParts>
  <Company/>
  <LinksUpToDate>false</LinksUpToDate>
  <CharactersWithSpaces>8035</CharactersWithSpaces>
  <SharedDoc>false</SharedDoc>
  <HLinks>
    <vt:vector size="12" baseType="variant">
      <vt:variant>
        <vt:i4>7602223</vt:i4>
      </vt:variant>
      <vt:variant>
        <vt:i4>21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5177365</vt:i4>
      </vt:variant>
      <vt:variant>
        <vt:i4>18</vt:i4>
      </vt:variant>
      <vt:variant>
        <vt:i4>0</vt:i4>
      </vt:variant>
      <vt:variant>
        <vt:i4>5</vt:i4>
      </vt:variant>
      <vt:variant>
        <vt:lpwstr>http://www.gmail.com/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использования электронной почты</dc:title>
  <dc:subject>СМИБ ХХХ-1E1</dc:subject>
  <dc:creator>Звягин Игорь Михайлович</dc:creator>
  <cp:keywords/>
  <dc:description/>
  <cp:lastModifiedBy>IgorZ</cp:lastModifiedBy>
  <cp:revision>5</cp:revision>
  <cp:lastPrinted>2009-03-25T15:10:00Z</cp:lastPrinted>
  <dcterms:created xsi:type="dcterms:W3CDTF">2015-04-17T17:49:00Z</dcterms:created>
  <dcterms:modified xsi:type="dcterms:W3CDTF">2018-02-05T08:22:00Z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ект">
    <vt:lpwstr>Звягин И.М. igor_zvyaghin@mail.ru</vt:lpwstr>
  </property>
</Properties>
</file>